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E8CDD" w14:textId="77777777" w:rsidR="008377AB" w:rsidRDefault="00000000">
      <w:r>
        <w:rPr>
          <w:noProof/>
        </w:rPr>
        <w:drawing>
          <wp:anchor distT="0" distB="0" distL="0" distR="0" simplePos="0" relativeHeight="251658240" behindDoc="1" locked="0" layoutInCell="1" hidden="0" allowOverlap="1" wp14:anchorId="5FAEDD21" wp14:editId="52662A08">
            <wp:simplePos x="0" y="0"/>
            <wp:positionH relativeFrom="column">
              <wp:posOffset>-2647941</wp:posOffset>
            </wp:positionH>
            <wp:positionV relativeFrom="paragraph">
              <wp:posOffset>-914390</wp:posOffset>
            </wp:positionV>
            <wp:extent cx="5732145" cy="4373880"/>
            <wp:effectExtent l="0" t="0" r="0" b="0"/>
            <wp:wrapNone/>
            <wp:docPr id="159700703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34675617" wp14:editId="7B5E7A62">
            <wp:simplePos x="0" y="0"/>
            <wp:positionH relativeFrom="column">
              <wp:posOffset>-389880</wp:posOffset>
            </wp:positionH>
            <wp:positionV relativeFrom="paragraph">
              <wp:posOffset>-514339</wp:posOffset>
            </wp:positionV>
            <wp:extent cx="3048000" cy="834853"/>
            <wp:effectExtent l="0" t="0" r="0" b="0"/>
            <wp:wrapNone/>
            <wp:docPr id="15970070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715EB6E6" w14:textId="77777777" w:rsidR="008377AB" w:rsidRDefault="008377AB"/>
    <w:p w14:paraId="599B93BC" w14:textId="77777777" w:rsidR="008377AB" w:rsidRDefault="008377AB"/>
    <w:p w14:paraId="407F68A4" w14:textId="77777777" w:rsidR="008377AB" w:rsidRDefault="00000000">
      <w:r>
        <w:rPr>
          <w:noProof/>
        </w:rPr>
        <mc:AlternateContent>
          <mc:Choice Requires="wpg">
            <w:drawing>
              <wp:anchor distT="45720" distB="45720" distL="114300" distR="114300" simplePos="0" relativeHeight="251660288" behindDoc="0" locked="0" layoutInCell="1" hidden="0" allowOverlap="1" wp14:anchorId="7289ED1F" wp14:editId="305AB147">
                <wp:simplePos x="0" y="0"/>
                <wp:positionH relativeFrom="column">
                  <wp:posOffset>622300</wp:posOffset>
                </wp:positionH>
                <wp:positionV relativeFrom="paragraph">
                  <wp:posOffset>45720</wp:posOffset>
                </wp:positionV>
                <wp:extent cx="4495165" cy="701101"/>
                <wp:effectExtent l="0" t="0" r="0" b="0"/>
                <wp:wrapSquare wrapText="bothSides" distT="45720" distB="45720" distL="114300" distR="114300"/>
                <wp:docPr id="1597007028" name="Rettangolo 1597007028"/>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0F1F308D" w14:textId="77777777" w:rsidR="008377AB" w:rsidRDefault="00000000">
                            <w:pPr>
                              <w:spacing w:line="258" w:lineRule="auto"/>
                              <w:jc w:val="center"/>
                              <w:textDirection w:val="btLr"/>
                            </w:pPr>
                            <w:r>
                              <w:rPr>
                                <w:b/>
                                <w:color w:val="16C45B"/>
                                <w:sz w:val="60"/>
                              </w:rPr>
                              <w:t>PIANO DI LEZIONE</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622300</wp:posOffset>
                </wp:positionH>
                <wp:positionV relativeFrom="paragraph">
                  <wp:posOffset>45720</wp:posOffset>
                </wp:positionV>
                <wp:extent cx="4495165" cy="701101"/>
                <wp:effectExtent b="0" l="0" r="0" t="0"/>
                <wp:wrapSquare wrapText="bothSides" distB="45720" distT="45720" distL="114300" distR="114300"/>
                <wp:docPr id="1597007028"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4495165" cy="701101"/>
                        </a:xfrm>
                        <a:prstGeom prst="rect"/>
                        <a:ln/>
                      </pic:spPr>
                    </pic:pic>
                  </a:graphicData>
                </a:graphic>
              </wp:anchor>
            </w:drawing>
          </mc:Fallback>
        </mc:AlternateContent>
      </w:r>
    </w:p>
    <w:p w14:paraId="72DE3125" w14:textId="77777777" w:rsidR="008377AB" w:rsidRDefault="008377AB"/>
    <w:p w14:paraId="511042EA" w14:textId="77777777" w:rsidR="008377AB" w:rsidRDefault="00000000">
      <w:r>
        <w:rPr>
          <w:noProof/>
        </w:rPr>
        <mc:AlternateContent>
          <mc:Choice Requires="wps">
            <w:drawing>
              <wp:anchor distT="45720" distB="45720" distL="114300" distR="114300" simplePos="0" relativeHeight="251661312" behindDoc="0" locked="0" layoutInCell="1" hidden="0" allowOverlap="1" wp14:anchorId="224FC3BE" wp14:editId="6915066B">
                <wp:simplePos x="0" y="0"/>
                <wp:positionH relativeFrom="column">
                  <wp:posOffset>431800</wp:posOffset>
                </wp:positionH>
                <wp:positionV relativeFrom="paragraph">
                  <wp:posOffset>45720</wp:posOffset>
                </wp:positionV>
                <wp:extent cx="4752975" cy="1075361"/>
                <wp:effectExtent l="0" t="0" r="0" b="0"/>
                <wp:wrapSquare wrapText="bothSides" distT="45720" distB="45720" distL="114300" distR="114300"/>
                <wp:docPr id="1597007029" name="Rettangolo 1597007029"/>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351DB2F0" w14:textId="77777777" w:rsidR="008377AB" w:rsidRPr="00554A88" w:rsidRDefault="00000000">
                            <w:pPr>
                              <w:spacing w:line="258" w:lineRule="auto"/>
                              <w:jc w:val="center"/>
                              <w:textDirection w:val="btLr"/>
                              <w:rPr>
                                <w:lang w:val="it-IT"/>
                              </w:rPr>
                            </w:pPr>
                            <w:r w:rsidRPr="00554A88">
                              <w:rPr>
                                <w:i/>
                                <w:sz w:val="36"/>
                                <w:lang w:val="it-IT"/>
                              </w:rPr>
                              <w:t>WP3: Formazione del personale docente per una didattica dell’informatica autentica e inclusiva in termini di genere</w:t>
                            </w:r>
                          </w:p>
                        </w:txbxContent>
                      </wps:txbx>
                      <wps:bodyPr spcFirstLastPara="1" wrap="square" lIns="91425" tIns="45700" rIns="91425" bIns="45700" anchor="t" anchorCtr="0">
                        <a:noAutofit/>
                      </wps:bodyPr>
                    </wps:wsp>
                  </a:graphicData>
                </a:graphic>
              </wp:anchor>
            </w:drawing>
          </mc:Choice>
          <mc:Fallback>
            <w:pict>
              <v:rect w14:anchorId="224FC3BE" id="Rettangolo 1597007029" o:spid="_x0000_s1027" style="position:absolute;margin-left:34pt;margin-top:3.6pt;width:374.25pt;height:84.6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" filled="f" stroked="f">
                <v:textbox inset="2.53958mm,1.2694mm,2.53958mm,1.2694mm">
                  <w:txbxContent>
                    <w:p w14:paraId="351DB2F0" w14:textId="77777777" w:rsidR="008377AB" w:rsidRPr="00554A88" w:rsidRDefault="00000000">
                      <w:pPr>
                        <w:spacing w:line="258" w:lineRule="auto"/>
                        <w:jc w:val="center"/>
                        <w:textDirection w:val="btLr"/>
                        <w:rPr>
                          <w:lang w:val="it-IT"/>
                        </w:rPr>
                      </w:pPr>
                      <w:r w:rsidRPr="00554A88">
                        <w:rPr>
                          <w:i/>
                          <w:sz w:val="36"/>
                          <w:lang w:val="it-IT"/>
                        </w:rPr>
                        <w:t>WP3: Formazione del personale docente per una didattica dell’informatica autentica e inclusiva in termini di genere</w:t>
                      </w:r>
                    </w:p>
                  </w:txbxContent>
                </v:textbox>
                <w10:wrap type="square"/>
              </v:rect>
            </w:pict>
          </mc:Fallback>
        </mc:AlternateContent>
      </w:r>
    </w:p>
    <w:p w14:paraId="77E3E931" w14:textId="77777777" w:rsidR="008377AB" w:rsidRDefault="008377AB"/>
    <w:p w14:paraId="7D75E300" w14:textId="77777777" w:rsidR="008377AB" w:rsidRDefault="00000000">
      <w:r>
        <w:rPr>
          <w:noProof/>
        </w:rPr>
        <w:drawing>
          <wp:anchor distT="0" distB="0" distL="0" distR="0" simplePos="0" relativeHeight="251662336" behindDoc="1" locked="0" layoutInCell="1" hidden="0" allowOverlap="1" wp14:anchorId="66A43220" wp14:editId="4423EE1C">
            <wp:simplePos x="0" y="0"/>
            <wp:positionH relativeFrom="column">
              <wp:posOffset>866140</wp:posOffset>
            </wp:positionH>
            <wp:positionV relativeFrom="paragraph">
              <wp:posOffset>187325</wp:posOffset>
            </wp:positionV>
            <wp:extent cx="4000500" cy="1409700"/>
            <wp:effectExtent l="0" t="0" r="0" b="0"/>
            <wp:wrapNone/>
            <wp:docPr id="159700703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1"/>
                    <a:srcRect/>
                    <a:stretch>
                      <a:fillRect/>
                    </a:stretch>
                  </pic:blipFill>
                  <pic:spPr>
                    <a:xfrm>
                      <a:off x="0" y="0"/>
                      <a:ext cx="4000500" cy="1409700"/>
                    </a:xfrm>
                    <a:prstGeom prst="rect">
                      <a:avLst/>
                    </a:prstGeom>
                    <a:ln/>
                  </pic:spPr>
                </pic:pic>
              </a:graphicData>
            </a:graphic>
          </wp:anchor>
        </w:drawing>
      </w:r>
    </w:p>
    <w:p w14:paraId="2E926DEA" w14:textId="77777777" w:rsidR="008377AB" w:rsidRDefault="008377AB"/>
    <w:p w14:paraId="428F67AD" w14:textId="77777777" w:rsidR="008377AB" w:rsidRDefault="008377AB"/>
    <w:p w14:paraId="12891E22" w14:textId="77777777" w:rsidR="008377AB" w:rsidRDefault="008377AB"/>
    <w:p w14:paraId="3155C05D" w14:textId="77777777" w:rsidR="008377AB" w:rsidRDefault="00000000">
      <w:pPr>
        <w:tabs>
          <w:tab w:val="left" w:pos="6264"/>
        </w:tabs>
      </w:pPr>
      <w:r>
        <w:tab/>
      </w:r>
    </w:p>
    <w:p w14:paraId="41C18A99" w14:textId="77777777" w:rsidR="008377AB" w:rsidRDefault="008377AB">
      <w:pPr>
        <w:tabs>
          <w:tab w:val="left" w:pos="6264"/>
        </w:tabs>
      </w:pPr>
    </w:p>
    <w:p w14:paraId="38EEEF1E" w14:textId="77777777" w:rsidR="008377AB" w:rsidRDefault="008377AB">
      <w:pPr>
        <w:tabs>
          <w:tab w:val="left" w:pos="6264"/>
        </w:tabs>
      </w:pPr>
    </w:p>
    <w:tbl>
      <w:tblPr>
        <w:tblStyle w:val="aff5"/>
        <w:tblpPr w:leftFromText="180" w:rightFromText="180" w:vertAnchor="text" w:tblpY="52"/>
        <w:tblW w:w="9067" w:type="dxa"/>
        <w:tblInd w:w="0"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8377AB" w14:paraId="6C39FE5C" w14:textId="77777777" w:rsidTr="008377AB">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41581C14" w14:textId="77777777" w:rsidR="008377AB" w:rsidRDefault="00000000">
            <w:pPr>
              <w:rPr>
                <w:color w:val="F2F2F2"/>
                <w:sz w:val="24"/>
                <w:szCs w:val="24"/>
              </w:rPr>
            </w:pPr>
            <w:r>
              <w:rPr>
                <w:color w:val="F2F2F2"/>
                <w:sz w:val="24"/>
                <w:szCs w:val="24"/>
              </w:rPr>
              <w:t>INFORMAZIONI GENERALI</w:t>
            </w:r>
          </w:p>
        </w:tc>
      </w:tr>
      <w:tr w:rsidR="008377AB" w:rsidRPr="00554A88" w14:paraId="17B93AE2" w14:textId="77777777" w:rsidTr="008377AB">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07DFFA20" w14:textId="77777777" w:rsidR="008377AB" w:rsidRDefault="00000000">
            <w:pPr>
              <w:rPr>
                <w:color w:val="F2F2F2"/>
                <w:sz w:val="24"/>
                <w:szCs w:val="24"/>
              </w:rPr>
            </w:pPr>
            <w:r>
              <w:t>Modulo</w:t>
            </w:r>
          </w:p>
        </w:tc>
        <w:tc>
          <w:tcPr>
            <w:tcW w:w="7512" w:type="dxa"/>
          </w:tcPr>
          <w:p w14:paraId="368B43EA" w14:textId="77777777" w:rsidR="008377AB" w:rsidRPr="00554A88" w:rsidRDefault="00000000">
            <w:pPr>
              <w:cnfStyle w:val="000000100000" w:firstRow="0" w:lastRow="0" w:firstColumn="0" w:lastColumn="0" w:oddVBand="0" w:evenVBand="0" w:oddHBand="1" w:evenHBand="0" w:firstRowFirstColumn="0" w:firstRowLastColumn="0" w:lastRowFirstColumn="0" w:lastRowLastColumn="0"/>
              <w:rPr>
                <w:lang w:val="it-IT"/>
              </w:rPr>
            </w:pPr>
            <w:r w:rsidRPr="00554A88">
              <w:rPr>
                <w:b/>
                <w:i/>
                <w:lang w:val="it-IT"/>
              </w:rPr>
              <w:t>Modulo 3: Il quadro di riferimento TINKER - approcci inclusivi di genere all’insegnamento e alla valutazione dell’informatica</w:t>
            </w:r>
          </w:p>
        </w:tc>
      </w:tr>
      <w:tr w:rsidR="008377AB" w:rsidRPr="00554A88" w14:paraId="475EE9FB" w14:textId="77777777" w:rsidTr="008377AB">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38149F88" w14:textId="77777777" w:rsidR="008377AB" w:rsidRDefault="00000000">
            <w:proofErr w:type="spellStart"/>
            <w:r>
              <w:t>Unità</w:t>
            </w:r>
            <w:proofErr w:type="spellEnd"/>
          </w:p>
        </w:tc>
        <w:tc>
          <w:tcPr>
            <w:tcW w:w="7512" w:type="dxa"/>
          </w:tcPr>
          <w:p w14:paraId="0A38FD6D" w14:textId="77777777" w:rsidR="008377AB" w:rsidRPr="00554A88" w:rsidRDefault="00000000">
            <w:pPr>
              <w:cnfStyle w:val="000000000000" w:firstRow="0" w:lastRow="0" w:firstColumn="0" w:lastColumn="0" w:oddVBand="0" w:evenVBand="0" w:oddHBand="0" w:evenHBand="0" w:firstRowFirstColumn="0" w:firstRowLastColumn="0" w:lastRowFirstColumn="0" w:lastRowLastColumn="0"/>
              <w:rPr>
                <w:i/>
                <w:lang w:val="it-IT"/>
              </w:rPr>
            </w:pPr>
            <w:r w:rsidRPr="00554A88">
              <w:rPr>
                <w:lang w:val="it-IT"/>
              </w:rPr>
              <w:t>3.1:</w:t>
            </w:r>
            <w:r w:rsidRPr="00554A88">
              <w:rPr>
                <w:i/>
                <w:lang w:val="it-IT"/>
              </w:rPr>
              <w:t xml:space="preserve"> Caratteristiche ed esempi di pratiche inclusive in termini di genere nell’educazione all’informatica</w:t>
            </w:r>
          </w:p>
        </w:tc>
      </w:tr>
      <w:tr w:rsidR="008377AB" w:rsidRPr="00554A88" w14:paraId="6D9DF812" w14:textId="77777777" w:rsidTr="008377AB">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1F43228B" w14:textId="77777777" w:rsidR="008377AB" w:rsidRDefault="00000000">
            <w:r>
              <w:t>Gruppo target</w:t>
            </w:r>
          </w:p>
        </w:tc>
        <w:tc>
          <w:tcPr>
            <w:tcW w:w="7512" w:type="dxa"/>
          </w:tcPr>
          <w:p w14:paraId="6D90F899" w14:textId="77777777" w:rsidR="008377AB" w:rsidRPr="00554A88" w:rsidRDefault="00000000">
            <w:pPr>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Docenti della scuola primarie e secondarie</w:t>
            </w:r>
          </w:p>
        </w:tc>
      </w:tr>
      <w:tr w:rsidR="008377AB" w14:paraId="43E8EB4A" w14:textId="77777777" w:rsidTr="008377AB">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6042B95B" w14:textId="77777777" w:rsidR="008377AB" w:rsidRDefault="00000000">
            <w:proofErr w:type="spellStart"/>
            <w:r>
              <w:t>Durata</w:t>
            </w:r>
            <w:proofErr w:type="spellEnd"/>
          </w:p>
        </w:tc>
        <w:tc>
          <w:tcPr>
            <w:tcW w:w="7512" w:type="dxa"/>
          </w:tcPr>
          <w:p w14:paraId="7ACDCAC5" w14:textId="77777777" w:rsidR="008377AB" w:rsidRDefault="00000000">
            <w:pPr>
              <w:cnfStyle w:val="000000000000" w:firstRow="0" w:lastRow="0" w:firstColumn="0" w:lastColumn="0" w:oddVBand="0" w:evenVBand="0" w:oddHBand="0" w:evenHBand="0" w:firstRowFirstColumn="0" w:firstRowLastColumn="0" w:lastRowFirstColumn="0" w:lastRowLastColumn="0"/>
            </w:pPr>
            <w:r>
              <w:t xml:space="preserve">150 </w:t>
            </w:r>
            <w:proofErr w:type="spellStart"/>
            <w:r>
              <w:t>minuti</w:t>
            </w:r>
            <w:proofErr w:type="spellEnd"/>
          </w:p>
        </w:tc>
      </w:tr>
      <w:tr w:rsidR="008377AB" w14:paraId="59BA37C2" w14:textId="77777777" w:rsidTr="008377AB">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59975C4F" w14:textId="77777777" w:rsidR="008377AB" w:rsidRDefault="00000000">
            <w:proofErr w:type="spellStart"/>
            <w:r>
              <w:t>Prerequisiti</w:t>
            </w:r>
            <w:proofErr w:type="spellEnd"/>
          </w:p>
        </w:tc>
        <w:tc>
          <w:tcPr>
            <w:tcW w:w="7512" w:type="dxa"/>
          </w:tcPr>
          <w:p w14:paraId="1EBD2828" w14:textId="77777777" w:rsidR="008377AB" w:rsidRDefault="00000000">
            <w:pPr>
              <w:cnfStyle w:val="000000100000" w:firstRow="0" w:lastRow="0" w:firstColumn="0" w:lastColumn="0" w:oddVBand="0" w:evenVBand="0" w:oddHBand="1" w:evenHBand="0" w:firstRowFirstColumn="0" w:firstRowLastColumn="0" w:lastRowFirstColumn="0" w:lastRowLastColumn="0"/>
            </w:pPr>
            <w:r>
              <w:t>/</w:t>
            </w:r>
          </w:p>
        </w:tc>
      </w:tr>
      <w:tr w:rsidR="008377AB" w14:paraId="18D6878F" w14:textId="77777777" w:rsidTr="008377AB">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57F9F447" w14:textId="77777777" w:rsidR="008377AB" w:rsidRDefault="00000000">
            <w:r>
              <w:t>ECTS</w:t>
            </w:r>
          </w:p>
        </w:tc>
        <w:tc>
          <w:tcPr>
            <w:tcW w:w="7512" w:type="dxa"/>
          </w:tcPr>
          <w:p w14:paraId="2B1D29BA" w14:textId="77777777" w:rsidR="008377AB" w:rsidRDefault="00000000">
            <w:pPr>
              <w:cnfStyle w:val="000000000000" w:firstRow="0" w:lastRow="0" w:firstColumn="0" w:lastColumn="0" w:oddVBand="0" w:evenVBand="0" w:oddHBand="0" w:evenHBand="0" w:firstRowFirstColumn="0" w:firstRowLastColumn="0" w:lastRowFirstColumn="0" w:lastRowLastColumn="0"/>
            </w:pPr>
            <w:r>
              <w:t>0,1</w:t>
            </w:r>
          </w:p>
        </w:tc>
      </w:tr>
    </w:tbl>
    <w:p w14:paraId="791B3B42" w14:textId="77777777" w:rsidR="008377AB" w:rsidRDefault="008377AB">
      <w:pPr>
        <w:tabs>
          <w:tab w:val="left" w:pos="6264"/>
        </w:tabs>
        <w:spacing w:after="0"/>
      </w:pPr>
    </w:p>
    <w:tbl>
      <w:tblPr>
        <w:tblStyle w:val="aff6"/>
        <w:tblpPr w:leftFromText="180" w:rightFromText="180" w:vertAnchor="text" w:tblpY="224"/>
        <w:tblW w:w="9067" w:type="dxa"/>
        <w:tblInd w:w="0"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8377AB" w14:paraId="0CBFCDD0" w14:textId="77777777" w:rsidTr="008377AB">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24BD49AA" w14:textId="77777777" w:rsidR="008377AB" w:rsidRDefault="00000000">
            <w:pPr>
              <w:rPr>
                <w:color w:val="F2F2F2"/>
                <w:sz w:val="24"/>
                <w:szCs w:val="24"/>
              </w:rPr>
            </w:pPr>
            <w:r>
              <w:rPr>
                <w:color w:val="F2F2F2"/>
                <w:sz w:val="24"/>
                <w:szCs w:val="24"/>
              </w:rPr>
              <w:t>RISULTATI DI APPRENDIMENTO</w:t>
            </w:r>
          </w:p>
        </w:tc>
      </w:tr>
      <w:tr w:rsidR="008377AB" w:rsidRPr="00554A88" w14:paraId="4E51E164" w14:textId="77777777" w:rsidTr="008377AB">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21" w:type="dxa"/>
          </w:tcPr>
          <w:p w14:paraId="354749E1" w14:textId="77777777" w:rsidR="008377AB" w:rsidRDefault="00000000">
            <w:r>
              <w:t>1</w:t>
            </w:r>
          </w:p>
        </w:tc>
        <w:tc>
          <w:tcPr>
            <w:tcW w:w="8646" w:type="dxa"/>
          </w:tcPr>
          <w:p w14:paraId="0AEA01C0" w14:textId="23FC92E1" w:rsidR="008377AB" w:rsidRPr="00554A88" w:rsidRDefault="00000000">
            <w:pPr>
              <w:cnfStyle w:val="000000100000" w:firstRow="0" w:lastRow="0" w:firstColumn="0" w:lastColumn="0" w:oddVBand="0" w:evenVBand="0" w:oddHBand="1" w:evenHBand="0" w:firstRowFirstColumn="0" w:firstRowLastColumn="0" w:lastRowFirstColumn="0" w:lastRowLastColumn="0"/>
              <w:rPr>
                <w:lang w:val="it-IT"/>
              </w:rPr>
            </w:pPr>
            <w:r w:rsidRPr="00554A88">
              <w:rPr>
                <w:b/>
                <w:lang w:val="it-IT"/>
              </w:rPr>
              <w:t xml:space="preserve">Individuare e mettere in pratica le caratteristiche dei compiti inclusivi in termini di genere </w:t>
            </w:r>
            <w:r w:rsidRPr="00554A88">
              <w:rPr>
                <w:lang w:val="it-IT"/>
              </w:rPr>
              <w:t xml:space="preserve">che supportano l’inclusione di genere, in particolare nell’informatica delle scuola </w:t>
            </w:r>
            <w:r w:rsidR="00554A88">
              <w:rPr>
                <w:lang w:val="it-IT"/>
              </w:rPr>
              <w:t>secondaria</w:t>
            </w:r>
            <w:r w:rsidRPr="00554A88">
              <w:rPr>
                <w:lang w:val="it-IT"/>
              </w:rPr>
              <w:t>, e spiegare in che modo queste caratteristiche contribuiscano a ridurre i pregiudizi di genere e a incoraggiare una partecipazione egualitaria.</w:t>
            </w:r>
          </w:p>
        </w:tc>
      </w:tr>
      <w:tr w:rsidR="008377AB" w:rsidRPr="00554A88" w14:paraId="025C68F3" w14:textId="77777777" w:rsidTr="008377AB">
        <w:trPr>
          <w:trHeight w:val="410"/>
        </w:trPr>
        <w:tc>
          <w:tcPr>
            <w:cnfStyle w:val="001000000000" w:firstRow="0" w:lastRow="0" w:firstColumn="1" w:lastColumn="0" w:oddVBand="0" w:evenVBand="0" w:oddHBand="0" w:evenHBand="0" w:firstRowFirstColumn="0" w:firstRowLastColumn="0" w:lastRowFirstColumn="0" w:lastRowLastColumn="0"/>
            <w:tcW w:w="421" w:type="dxa"/>
          </w:tcPr>
          <w:p w14:paraId="36408D79" w14:textId="77777777" w:rsidR="008377AB" w:rsidRDefault="00000000">
            <w:r>
              <w:t>2</w:t>
            </w:r>
          </w:p>
        </w:tc>
        <w:tc>
          <w:tcPr>
            <w:tcW w:w="8646" w:type="dxa"/>
          </w:tcPr>
          <w:p w14:paraId="6580341F" w14:textId="77777777" w:rsidR="008377AB" w:rsidRPr="00554A88" w:rsidRDefault="00000000">
            <w:pPr>
              <w:cnfStyle w:val="000000000000" w:firstRow="0" w:lastRow="0" w:firstColumn="0" w:lastColumn="0" w:oddVBand="0" w:evenVBand="0" w:oddHBand="0" w:evenHBand="0" w:firstRowFirstColumn="0" w:firstRowLastColumn="0" w:lastRowFirstColumn="0" w:lastRowLastColumn="0"/>
              <w:rPr>
                <w:lang w:val="it-IT"/>
              </w:rPr>
            </w:pPr>
            <w:r w:rsidRPr="00554A88">
              <w:rPr>
                <w:b/>
                <w:lang w:val="it-IT"/>
              </w:rPr>
              <w:t>Attuare strategie per la promozione dell’inclusività di genere</w:t>
            </w:r>
            <w:r w:rsidRPr="00554A88">
              <w:rPr>
                <w:lang w:val="it-IT"/>
              </w:rPr>
              <w:t xml:space="preserve"> nelle pratiche di insegnamento dell’informatica, tenendo in considerazione le buone pratiche della ricerca e i casi di studio della classe.</w:t>
            </w:r>
          </w:p>
        </w:tc>
      </w:tr>
    </w:tbl>
    <w:p w14:paraId="2E32E408" w14:textId="77777777" w:rsidR="008377AB" w:rsidRPr="00554A88" w:rsidRDefault="008377AB">
      <w:pPr>
        <w:tabs>
          <w:tab w:val="left" w:pos="6264"/>
        </w:tabs>
        <w:spacing w:after="0"/>
        <w:rPr>
          <w:lang w:val="it-IT"/>
        </w:rPr>
      </w:pPr>
    </w:p>
    <w:tbl>
      <w:tblPr>
        <w:tblStyle w:val="aff7"/>
        <w:tblpPr w:leftFromText="180" w:rightFromText="180" w:vertAnchor="text" w:tblpY="224"/>
        <w:tblW w:w="9088" w:type="dxa"/>
        <w:tblInd w:w="0"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73"/>
        <w:gridCol w:w="17"/>
      </w:tblGrid>
      <w:tr w:rsidR="008377AB" w14:paraId="771601EC" w14:textId="77777777" w:rsidTr="008377AB">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5"/>
          </w:tcPr>
          <w:p w14:paraId="7162D1C2" w14:textId="77777777" w:rsidR="008377AB" w:rsidRDefault="00000000">
            <w:pPr>
              <w:rPr>
                <w:color w:val="F2F2F2"/>
                <w:sz w:val="24"/>
                <w:szCs w:val="24"/>
              </w:rPr>
            </w:pPr>
            <w:r>
              <w:rPr>
                <w:color w:val="F2F2F2"/>
                <w:sz w:val="24"/>
                <w:szCs w:val="24"/>
              </w:rPr>
              <w:t>METODI DI INSEGNAMENTO</w:t>
            </w:r>
          </w:p>
        </w:tc>
      </w:tr>
      <w:tr w:rsidR="008377AB" w14:paraId="40AA6FDB" w14:textId="77777777" w:rsidTr="008377AB">
        <w:trPr>
          <w:gridAfter w:val="1"/>
          <w:cnfStyle w:val="000000100000" w:firstRow="0" w:lastRow="0" w:firstColumn="0" w:lastColumn="0" w:oddVBand="0" w:evenVBand="0" w:oddHBand="1" w:evenHBand="0" w:firstRowFirstColumn="0" w:firstRowLastColumn="0" w:lastRowFirstColumn="0" w:lastRowLastColumn="0"/>
          <w:wAfter w:w="17" w:type="dxa"/>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2254C414" w14:textId="77777777" w:rsidR="008377AB" w:rsidRDefault="00000000">
            <w:pPr>
              <w:jc w:val="center"/>
            </w:pPr>
            <w:r>
              <w:t>√</w:t>
            </w:r>
          </w:p>
        </w:tc>
        <w:tc>
          <w:tcPr>
            <w:tcW w:w="3969" w:type="dxa"/>
          </w:tcPr>
          <w:p w14:paraId="28F30B29" w14:textId="77777777" w:rsidR="008377AB" w:rsidRDefault="00000000">
            <w:pPr>
              <w:cnfStyle w:val="000000100000" w:firstRow="0" w:lastRow="0" w:firstColumn="0" w:lastColumn="0" w:oddVBand="0" w:evenVBand="0" w:oddHBand="1" w:evenHBand="0" w:firstRowFirstColumn="0" w:firstRowLastColumn="0" w:lastRowFirstColumn="0" w:lastRowLastColumn="0"/>
              <w:rPr>
                <w:i/>
              </w:rPr>
            </w:pPr>
            <w:r>
              <w:rPr>
                <w:i/>
              </w:rPr>
              <w:t>Learning by doing</w:t>
            </w:r>
          </w:p>
        </w:tc>
        <w:tc>
          <w:tcPr>
            <w:tcW w:w="567" w:type="dxa"/>
            <w:vAlign w:val="center"/>
          </w:tcPr>
          <w:p w14:paraId="0EFFD9D9" w14:textId="77777777" w:rsidR="008377AB"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085504EB" w14:textId="77777777" w:rsidR="008377AB" w:rsidRDefault="00000000">
            <w:pPr>
              <w:cnfStyle w:val="000000100000" w:firstRow="0" w:lastRow="0" w:firstColumn="0" w:lastColumn="0" w:oddVBand="0" w:evenVBand="0" w:oddHBand="1" w:evenHBand="0" w:firstRowFirstColumn="0" w:firstRowLastColumn="0" w:lastRowFirstColumn="0" w:lastRowLastColumn="0"/>
            </w:pPr>
            <w:proofErr w:type="spellStart"/>
            <w:r>
              <w:t>Apprendimento</w:t>
            </w:r>
            <w:proofErr w:type="spellEnd"/>
            <w:r>
              <w:t xml:space="preserve"> </w:t>
            </w:r>
            <w:proofErr w:type="spellStart"/>
            <w:r>
              <w:t>tra</w:t>
            </w:r>
            <w:proofErr w:type="spellEnd"/>
            <w:r>
              <w:t xml:space="preserve"> </w:t>
            </w:r>
            <w:proofErr w:type="spellStart"/>
            <w:r>
              <w:t>pari</w:t>
            </w:r>
            <w:proofErr w:type="spellEnd"/>
          </w:p>
        </w:tc>
      </w:tr>
      <w:tr w:rsidR="008377AB" w14:paraId="1BE873D0" w14:textId="77777777" w:rsidTr="008377AB">
        <w:trPr>
          <w:gridAfter w:val="1"/>
          <w:wAfter w:w="17" w:type="dxa"/>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6591FF25" w14:textId="77777777" w:rsidR="008377AB" w:rsidRDefault="008377AB">
            <w:pPr>
              <w:jc w:val="center"/>
            </w:pPr>
          </w:p>
        </w:tc>
        <w:tc>
          <w:tcPr>
            <w:tcW w:w="3969" w:type="dxa"/>
          </w:tcPr>
          <w:p w14:paraId="2CF61F6F" w14:textId="77777777" w:rsidR="008377AB" w:rsidRDefault="00000000">
            <w:pPr>
              <w:cnfStyle w:val="000000000000" w:firstRow="0" w:lastRow="0" w:firstColumn="0" w:lastColumn="0" w:oddVBand="0" w:evenVBand="0" w:oddHBand="0" w:evenHBand="0" w:firstRowFirstColumn="0" w:firstRowLastColumn="0" w:lastRowFirstColumn="0" w:lastRowLastColumn="0"/>
            </w:pPr>
            <w:proofErr w:type="spellStart"/>
            <w:r>
              <w:t>Apprendimento</w:t>
            </w:r>
            <w:proofErr w:type="spellEnd"/>
            <w:r>
              <w:t xml:space="preserve"> </w:t>
            </w:r>
            <w:proofErr w:type="spellStart"/>
            <w:r>
              <w:t>basato</w:t>
            </w:r>
            <w:proofErr w:type="spellEnd"/>
            <w:r>
              <w:t xml:space="preserve"> </w:t>
            </w:r>
            <w:proofErr w:type="spellStart"/>
            <w:r>
              <w:t>su</w:t>
            </w:r>
            <w:proofErr w:type="spellEnd"/>
            <w:r>
              <w:t xml:space="preserve"> </w:t>
            </w:r>
            <w:proofErr w:type="spellStart"/>
            <w:r>
              <w:t>progetti</w:t>
            </w:r>
            <w:proofErr w:type="spellEnd"/>
          </w:p>
        </w:tc>
        <w:tc>
          <w:tcPr>
            <w:tcW w:w="567" w:type="dxa"/>
            <w:vAlign w:val="center"/>
          </w:tcPr>
          <w:p w14:paraId="7920BBDD" w14:textId="77777777" w:rsidR="008377AB" w:rsidRDefault="00000000">
            <w:pPr>
              <w:jc w:val="center"/>
              <w:cnfStyle w:val="000000000000" w:firstRow="0" w:lastRow="0" w:firstColumn="0" w:lastColumn="0" w:oddVBand="0" w:evenVBand="0" w:oddHBand="0" w:evenHBand="0" w:firstRowFirstColumn="0" w:firstRowLastColumn="0" w:lastRowFirstColumn="0" w:lastRowLastColumn="0"/>
            </w:pPr>
            <w:r>
              <w:t>√</w:t>
            </w:r>
          </w:p>
        </w:tc>
        <w:tc>
          <w:tcPr>
            <w:tcW w:w="3973" w:type="dxa"/>
          </w:tcPr>
          <w:p w14:paraId="77D4059E" w14:textId="77777777" w:rsidR="008377AB" w:rsidRDefault="00000000">
            <w:pPr>
              <w:cnfStyle w:val="000000000000" w:firstRow="0" w:lastRow="0" w:firstColumn="0" w:lastColumn="0" w:oddVBand="0" w:evenVBand="0" w:oddHBand="0" w:evenHBand="0" w:firstRowFirstColumn="0" w:firstRowLastColumn="0" w:lastRowFirstColumn="0" w:lastRowLastColumn="0"/>
            </w:pPr>
            <w:proofErr w:type="spellStart"/>
            <w:r>
              <w:t>Apprendimento</w:t>
            </w:r>
            <w:proofErr w:type="spellEnd"/>
            <w:r>
              <w:t xml:space="preserve"> </w:t>
            </w:r>
            <w:proofErr w:type="spellStart"/>
            <w:r>
              <w:t>pratico</w:t>
            </w:r>
            <w:proofErr w:type="spellEnd"/>
          </w:p>
        </w:tc>
      </w:tr>
      <w:tr w:rsidR="008377AB" w14:paraId="6459766A" w14:textId="77777777" w:rsidTr="008377AB">
        <w:trPr>
          <w:gridAfter w:val="1"/>
          <w:cnfStyle w:val="000000100000" w:firstRow="0" w:lastRow="0" w:firstColumn="0" w:lastColumn="0" w:oddVBand="0" w:evenVBand="0" w:oddHBand="1" w:evenHBand="0" w:firstRowFirstColumn="0" w:firstRowLastColumn="0" w:lastRowFirstColumn="0" w:lastRowLastColumn="0"/>
          <w:wAfter w:w="17" w:type="dxa"/>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3FAFBE51" w14:textId="77777777" w:rsidR="008377AB" w:rsidRDefault="00000000">
            <w:pPr>
              <w:jc w:val="center"/>
            </w:pPr>
            <w:r>
              <w:t>√</w:t>
            </w:r>
          </w:p>
        </w:tc>
        <w:tc>
          <w:tcPr>
            <w:tcW w:w="3969" w:type="dxa"/>
          </w:tcPr>
          <w:p w14:paraId="5424F567" w14:textId="77777777" w:rsidR="008377AB" w:rsidRDefault="00000000">
            <w:pPr>
              <w:cnfStyle w:val="000000100000" w:firstRow="0" w:lastRow="0" w:firstColumn="0" w:lastColumn="0" w:oddVBand="0" w:evenVBand="0" w:oddHBand="1" w:evenHBand="0" w:firstRowFirstColumn="0" w:firstRowLastColumn="0" w:lastRowFirstColumn="0" w:lastRowLastColumn="0"/>
            </w:pPr>
            <w:proofErr w:type="spellStart"/>
            <w:r>
              <w:t>Strategie</w:t>
            </w:r>
            <w:proofErr w:type="spellEnd"/>
            <w:r>
              <w:t xml:space="preserve"> di </w:t>
            </w:r>
            <w:proofErr w:type="spellStart"/>
            <w:r>
              <w:t>apprendimento</w:t>
            </w:r>
            <w:proofErr w:type="spellEnd"/>
            <w:r>
              <w:t xml:space="preserve"> </w:t>
            </w:r>
            <w:proofErr w:type="spellStart"/>
            <w:r>
              <w:t>attivo</w:t>
            </w:r>
            <w:proofErr w:type="spellEnd"/>
          </w:p>
        </w:tc>
        <w:tc>
          <w:tcPr>
            <w:tcW w:w="567" w:type="dxa"/>
            <w:vAlign w:val="center"/>
          </w:tcPr>
          <w:p w14:paraId="28E7514D" w14:textId="77777777" w:rsidR="008377AB"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4D26CB7E" w14:textId="77777777" w:rsidR="008377AB" w:rsidRDefault="00000000">
            <w:pPr>
              <w:cnfStyle w:val="000000100000" w:firstRow="0" w:lastRow="0" w:firstColumn="0" w:lastColumn="0" w:oddVBand="0" w:evenVBand="0" w:oddHBand="1" w:evenHBand="0" w:firstRowFirstColumn="0" w:firstRowLastColumn="0" w:lastRowFirstColumn="0" w:lastRowLastColumn="0"/>
            </w:pPr>
            <w:proofErr w:type="spellStart"/>
            <w:r>
              <w:t>Apprendimento</w:t>
            </w:r>
            <w:proofErr w:type="spellEnd"/>
            <w:r>
              <w:t xml:space="preserve"> </w:t>
            </w:r>
            <w:proofErr w:type="spellStart"/>
            <w:r>
              <w:t>collaborativo</w:t>
            </w:r>
            <w:proofErr w:type="spellEnd"/>
          </w:p>
        </w:tc>
      </w:tr>
      <w:tr w:rsidR="008377AB" w14:paraId="57952197" w14:textId="77777777" w:rsidTr="008377AB">
        <w:trPr>
          <w:gridAfter w:val="1"/>
          <w:wAfter w:w="17" w:type="dxa"/>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5720B1F3" w14:textId="77777777" w:rsidR="008377AB" w:rsidRDefault="00000000">
            <w:pPr>
              <w:jc w:val="center"/>
            </w:pPr>
            <w:r>
              <w:rPr>
                <w:b w:val="0"/>
              </w:rPr>
              <w:t>√</w:t>
            </w:r>
          </w:p>
        </w:tc>
        <w:tc>
          <w:tcPr>
            <w:tcW w:w="3969" w:type="dxa"/>
          </w:tcPr>
          <w:p w14:paraId="1C579145" w14:textId="77777777" w:rsidR="008377AB" w:rsidRDefault="00000000">
            <w:pPr>
              <w:cnfStyle w:val="000000000000" w:firstRow="0" w:lastRow="0" w:firstColumn="0" w:lastColumn="0" w:oddVBand="0" w:evenVBand="0" w:oddHBand="0" w:evenHBand="0" w:firstRowFirstColumn="0" w:firstRowLastColumn="0" w:lastRowFirstColumn="0" w:lastRowLastColumn="0"/>
            </w:pPr>
            <w:proofErr w:type="spellStart"/>
            <w:r>
              <w:t>Apprendimento</w:t>
            </w:r>
            <w:proofErr w:type="spellEnd"/>
            <w:r>
              <w:t xml:space="preserve"> misto</w:t>
            </w:r>
          </w:p>
        </w:tc>
        <w:tc>
          <w:tcPr>
            <w:tcW w:w="567" w:type="dxa"/>
            <w:vAlign w:val="center"/>
          </w:tcPr>
          <w:p w14:paraId="666CBD4F" w14:textId="77777777" w:rsidR="008377AB" w:rsidRDefault="008377AB">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74A77735" w14:textId="77777777" w:rsidR="008377AB" w:rsidRDefault="008377AB">
            <w:pPr>
              <w:cnfStyle w:val="000000000000" w:firstRow="0" w:lastRow="0" w:firstColumn="0" w:lastColumn="0" w:oddVBand="0" w:evenVBand="0" w:oddHBand="0" w:evenHBand="0" w:firstRowFirstColumn="0" w:firstRowLastColumn="0" w:lastRowFirstColumn="0" w:lastRowLastColumn="0"/>
            </w:pPr>
          </w:p>
        </w:tc>
      </w:tr>
    </w:tbl>
    <w:p w14:paraId="0F368915" w14:textId="77777777" w:rsidR="008377AB" w:rsidRDefault="008377AB">
      <w:pPr>
        <w:tabs>
          <w:tab w:val="left" w:pos="6264"/>
        </w:tabs>
        <w:spacing w:after="0"/>
      </w:pPr>
    </w:p>
    <w:tbl>
      <w:tblPr>
        <w:tblStyle w:val="aff8"/>
        <w:tblpPr w:leftFromText="180" w:rightFromText="180" w:vertAnchor="text" w:tblpY="224"/>
        <w:tblW w:w="9067" w:type="dxa"/>
        <w:tblInd w:w="0"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8377AB" w14:paraId="3594E844" w14:textId="77777777" w:rsidTr="008377AB">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3A359B55" w14:textId="77777777" w:rsidR="008377AB" w:rsidRDefault="00000000">
            <w:pPr>
              <w:rPr>
                <w:color w:val="F2F2F2"/>
                <w:sz w:val="24"/>
                <w:szCs w:val="24"/>
              </w:rPr>
            </w:pPr>
            <w:r>
              <w:rPr>
                <w:color w:val="F2F2F2"/>
                <w:sz w:val="24"/>
                <w:szCs w:val="24"/>
              </w:rPr>
              <w:t>MATERIALE DIDATTICO</w:t>
            </w:r>
          </w:p>
        </w:tc>
      </w:tr>
      <w:tr w:rsidR="008377AB" w14:paraId="3BB60DE7" w14:textId="77777777" w:rsidTr="008377AB">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2C9F511F" w14:textId="77777777" w:rsidR="008377AB" w:rsidRDefault="00000000">
            <w:pPr>
              <w:rPr>
                <w:color w:val="F2F2F2"/>
                <w:sz w:val="24"/>
                <w:szCs w:val="24"/>
              </w:rPr>
            </w:pPr>
            <w:proofErr w:type="spellStart"/>
            <w:r>
              <w:t>Occorrente</w:t>
            </w:r>
            <w:proofErr w:type="spellEnd"/>
          </w:p>
        </w:tc>
        <w:tc>
          <w:tcPr>
            <w:tcW w:w="6945" w:type="dxa"/>
          </w:tcPr>
          <w:p w14:paraId="76F7D29F" w14:textId="77777777" w:rsidR="008377AB" w:rsidRDefault="00000000">
            <w:pPr>
              <w:numPr>
                <w:ilvl w:val="0"/>
                <w:numId w:val="9"/>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pPr>
            <w:r>
              <w:t>Computer</w:t>
            </w:r>
          </w:p>
          <w:p w14:paraId="1C581F17" w14:textId="77777777" w:rsidR="008377AB" w:rsidRDefault="00000000">
            <w:pPr>
              <w:numPr>
                <w:ilvl w:val="0"/>
                <w:numId w:val="9"/>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pPr>
            <w:proofErr w:type="spellStart"/>
            <w:r>
              <w:t>Proiettore</w:t>
            </w:r>
            <w:proofErr w:type="spellEnd"/>
          </w:p>
          <w:p w14:paraId="7BAD7C9C" w14:textId="77777777" w:rsidR="008377AB" w:rsidRPr="00554A88" w:rsidRDefault="00000000">
            <w:pPr>
              <w:numPr>
                <w:ilvl w:val="0"/>
                <w:numId w:val="9"/>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Software per le presentazioni (es. ppt)</w:t>
            </w:r>
          </w:p>
          <w:p w14:paraId="499262E9" w14:textId="77777777" w:rsidR="008377AB" w:rsidRDefault="00000000">
            <w:pPr>
              <w:numPr>
                <w:ilvl w:val="0"/>
                <w:numId w:val="9"/>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pPr>
            <w:proofErr w:type="spellStart"/>
            <w:r>
              <w:t>Connessione</w:t>
            </w:r>
            <w:proofErr w:type="spellEnd"/>
            <w:r>
              <w:t xml:space="preserve"> </w:t>
            </w:r>
            <w:proofErr w:type="spellStart"/>
            <w:r>
              <w:t>a</w:t>
            </w:r>
            <w:proofErr w:type="spellEnd"/>
            <w:r>
              <w:t xml:space="preserve"> Internet/Wi-Fi</w:t>
            </w:r>
          </w:p>
          <w:p w14:paraId="0FE95066" w14:textId="77777777" w:rsidR="008377AB" w:rsidRDefault="00000000">
            <w:pPr>
              <w:numPr>
                <w:ilvl w:val="0"/>
                <w:numId w:val="9"/>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pPr>
            <w:proofErr w:type="spellStart"/>
            <w:r>
              <w:t>Lavagna</w:t>
            </w:r>
            <w:proofErr w:type="spellEnd"/>
            <w:r>
              <w:t xml:space="preserve"> e </w:t>
            </w:r>
            <w:proofErr w:type="spellStart"/>
            <w:r>
              <w:t>pennarelli</w:t>
            </w:r>
            <w:proofErr w:type="spellEnd"/>
            <w:r>
              <w:t xml:space="preserve"> (</w:t>
            </w:r>
            <w:proofErr w:type="spellStart"/>
            <w:r>
              <w:t>facoltativo</w:t>
            </w:r>
            <w:proofErr w:type="spellEnd"/>
            <w:r>
              <w:t>)</w:t>
            </w:r>
          </w:p>
          <w:p w14:paraId="04BE2509" w14:textId="77777777" w:rsidR="008377AB" w:rsidRPr="00554A88" w:rsidRDefault="00000000">
            <w:pPr>
              <w:numPr>
                <w:ilvl w:val="0"/>
                <w:numId w:val="9"/>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Post-it e penne (facoltativo)</w:t>
            </w:r>
          </w:p>
          <w:p w14:paraId="0D9F84CB" w14:textId="77777777" w:rsidR="008377AB" w:rsidRDefault="00000000">
            <w:pPr>
              <w:numPr>
                <w:ilvl w:val="0"/>
                <w:numId w:val="9"/>
              </w:numPr>
              <w:pBdr>
                <w:top w:val="nil"/>
                <w:left w:val="nil"/>
                <w:bottom w:val="nil"/>
                <w:right w:val="nil"/>
                <w:between w:val="nil"/>
              </w:pBdr>
              <w:spacing w:after="160" w:line="259" w:lineRule="auto"/>
              <w:cnfStyle w:val="000000100000" w:firstRow="0" w:lastRow="0" w:firstColumn="0" w:lastColumn="0" w:oddVBand="0" w:evenVBand="0" w:oddHBand="1" w:evenHBand="0" w:firstRowFirstColumn="0" w:firstRowLastColumn="0" w:lastRowFirstColumn="0" w:lastRowLastColumn="0"/>
            </w:pPr>
            <w:r w:rsidRPr="00554A88">
              <w:rPr>
                <w:lang w:val="it-IT"/>
              </w:rPr>
              <w:t xml:space="preserve">Strumento per i sondaggi digitali (ad es., </w:t>
            </w:r>
            <w:proofErr w:type="spellStart"/>
            <w:r w:rsidRPr="00554A88">
              <w:rPr>
                <w:lang w:val="it-IT"/>
              </w:rPr>
              <w:t>Mentimeter</w:t>
            </w:r>
            <w:proofErr w:type="spellEnd"/>
            <w:r w:rsidRPr="00554A88">
              <w:rPr>
                <w:lang w:val="it-IT"/>
              </w:rPr>
              <w:t xml:space="preserve">, </w:t>
            </w:r>
            <w:proofErr w:type="spellStart"/>
            <w:r w:rsidRPr="00554A88">
              <w:rPr>
                <w:lang w:val="it-IT"/>
              </w:rPr>
              <w:t>Kahoot</w:t>
            </w:r>
            <w:proofErr w:type="spellEnd"/>
            <w:r w:rsidRPr="00554A88">
              <w:rPr>
                <w:lang w:val="it-IT"/>
              </w:rPr>
              <w:t xml:space="preserve">, Google Forms, ecc.) </w:t>
            </w:r>
            <w:r>
              <w:t>(</w:t>
            </w:r>
            <w:proofErr w:type="spellStart"/>
            <w:r>
              <w:t>facoltativo</w:t>
            </w:r>
            <w:proofErr w:type="spellEnd"/>
            <w:r>
              <w:t>)</w:t>
            </w:r>
          </w:p>
        </w:tc>
      </w:tr>
      <w:tr w:rsidR="008377AB" w14:paraId="618F2009" w14:textId="77777777" w:rsidTr="008377AB">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52402C8F" w14:textId="77777777" w:rsidR="008377AB" w:rsidRDefault="00000000">
            <w:r>
              <w:t xml:space="preserve">Risorse </w:t>
            </w:r>
            <w:proofErr w:type="spellStart"/>
            <w:r>
              <w:t>aggiuntive</w:t>
            </w:r>
            <w:proofErr w:type="spellEnd"/>
          </w:p>
        </w:tc>
        <w:tc>
          <w:tcPr>
            <w:tcW w:w="6945" w:type="dxa"/>
          </w:tcPr>
          <w:p w14:paraId="02FA5B65" w14:textId="77777777" w:rsidR="008377AB" w:rsidRDefault="00000000">
            <w:pPr>
              <w:numPr>
                <w:ilvl w:val="0"/>
                <w:numId w:val="23"/>
              </w:numPr>
              <w:cnfStyle w:val="000000000000" w:firstRow="0" w:lastRow="0" w:firstColumn="0" w:lastColumn="0" w:oddVBand="0" w:evenVBand="0" w:oddHBand="0" w:evenHBand="0" w:firstRowFirstColumn="0" w:firstRowLastColumn="0" w:lastRowFirstColumn="0" w:lastRowLastColumn="0"/>
            </w:pPr>
            <w:proofErr w:type="spellStart"/>
            <w:r>
              <w:t>Dagienė</w:t>
            </w:r>
            <w:proofErr w:type="spellEnd"/>
            <w:r>
              <w:t xml:space="preserve">, V., </w:t>
            </w:r>
            <w:proofErr w:type="spellStart"/>
            <w:r>
              <w:t>Stupurienė</w:t>
            </w:r>
            <w:proofErr w:type="spellEnd"/>
            <w:r>
              <w:t xml:space="preserve">, G., &amp; </w:t>
            </w:r>
            <w:proofErr w:type="spellStart"/>
            <w:r>
              <w:t>Vinikienė</w:t>
            </w:r>
            <w:proofErr w:type="spellEnd"/>
            <w:r>
              <w:t xml:space="preserve">, L. (2016). Promoting Inclusive Informatics Education Through the </w:t>
            </w:r>
            <w:proofErr w:type="spellStart"/>
            <w:r>
              <w:t>Bebras</w:t>
            </w:r>
            <w:proofErr w:type="spellEnd"/>
            <w:r>
              <w:t xml:space="preserve"> Challenge to All K-12 Students. </w:t>
            </w:r>
            <w:r>
              <w:rPr>
                <w:i/>
              </w:rPr>
              <w:t>Proceedings of the 17th International Conference on Computer Systems and Technologies 2016</w:t>
            </w:r>
            <w:r>
              <w:t xml:space="preserve">, 407–414. </w:t>
            </w:r>
            <w:hyperlink r:id="rId12">
              <w:r>
                <w:rPr>
                  <w:color w:val="16C45B"/>
                  <w:u w:val="single"/>
                </w:rPr>
                <w:t>https://doi.org/10.1145/2983468.2983517</w:t>
              </w:r>
            </w:hyperlink>
          </w:p>
          <w:p w14:paraId="5990E551" w14:textId="77777777" w:rsidR="008377AB" w:rsidRDefault="00000000">
            <w:pPr>
              <w:numPr>
                <w:ilvl w:val="0"/>
                <w:numId w:val="23"/>
              </w:numPr>
              <w:cnfStyle w:val="000000000000" w:firstRow="0" w:lastRow="0" w:firstColumn="0" w:lastColumn="0" w:oddVBand="0" w:evenVBand="0" w:oddHBand="0" w:evenHBand="0" w:firstRowFirstColumn="0" w:firstRowLastColumn="0" w:lastRowFirstColumn="0" w:lastRowLastColumn="0"/>
            </w:pPr>
            <w:proofErr w:type="spellStart"/>
            <w:r>
              <w:t>Evagorou</w:t>
            </w:r>
            <w:proofErr w:type="spellEnd"/>
            <w:r>
              <w:t xml:space="preserve">, M., Puig, B., Bayram, D., &amp; </w:t>
            </w:r>
            <w:proofErr w:type="spellStart"/>
            <w:r>
              <w:t>Janeckova</w:t>
            </w:r>
            <w:proofErr w:type="spellEnd"/>
            <w:r>
              <w:t xml:space="preserve">, H. (2024). </w:t>
            </w:r>
            <w:r>
              <w:rPr>
                <w:i/>
              </w:rPr>
              <w:t>Addressing the gender gap in STEM education across educational levels</w:t>
            </w:r>
            <w:r>
              <w:t xml:space="preserve">. NESET report. Luxembourg: Publications Office of the European Union. </w:t>
            </w:r>
            <w:hyperlink r:id="rId13">
              <w:r>
                <w:rPr>
                  <w:color w:val="16C45B"/>
                  <w:u w:val="single"/>
                </w:rPr>
                <w:t>https://doi.org/10.2766/260477</w:t>
              </w:r>
            </w:hyperlink>
            <w:r>
              <w:t xml:space="preserve"> </w:t>
            </w:r>
          </w:p>
          <w:p w14:paraId="26BA340A" w14:textId="77777777" w:rsidR="008377AB" w:rsidRDefault="00000000">
            <w:pPr>
              <w:numPr>
                <w:ilvl w:val="0"/>
                <w:numId w:val="23"/>
              </w:numPr>
              <w:cnfStyle w:val="000000000000" w:firstRow="0" w:lastRow="0" w:firstColumn="0" w:lastColumn="0" w:oddVBand="0" w:evenVBand="0" w:oddHBand="0" w:evenHBand="0" w:firstRowFirstColumn="0" w:firstRowLastColumn="0" w:lastRowFirstColumn="0" w:lastRowLastColumn="0"/>
            </w:pPr>
            <w:r>
              <w:t xml:space="preserve">Koppi, T., Sheard, J., </w:t>
            </w:r>
            <w:proofErr w:type="spellStart"/>
            <w:r>
              <w:t>Naghdy</w:t>
            </w:r>
            <w:proofErr w:type="spellEnd"/>
            <w:r>
              <w:t xml:space="preserve">, F., Edwards, S. L., &amp; Brookes, W. (2010). Towards a gender inclusive information and communications technology curriculum: A perspective from graduates in the workforce. </w:t>
            </w:r>
            <w:r>
              <w:rPr>
                <w:i/>
              </w:rPr>
              <w:t>Computer Science Education</w:t>
            </w:r>
            <w:r>
              <w:t xml:space="preserve">, </w:t>
            </w:r>
            <w:r>
              <w:rPr>
                <w:i/>
              </w:rPr>
              <w:t>20</w:t>
            </w:r>
            <w:r>
              <w:t xml:space="preserve">(4), 265–282. </w:t>
            </w:r>
            <w:hyperlink r:id="rId14">
              <w:r>
                <w:rPr>
                  <w:color w:val="16C45B"/>
                  <w:u w:val="single"/>
                </w:rPr>
                <w:t>https://doi.org/10.1080/08993408.2010.527686</w:t>
              </w:r>
            </w:hyperlink>
          </w:p>
          <w:p w14:paraId="506B256B" w14:textId="77777777" w:rsidR="008377AB" w:rsidRDefault="00000000">
            <w:pPr>
              <w:widowControl w:val="0"/>
              <w:numPr>
                <w:ilvl w:val="0"/>
                <w:numId w:val="23"/>
              </w:numPr>
              <w:spacing w:line="216" w:lineRule="auto"/>
              <w:cnfStyle w:val="000000000000" w:firstRow="0" w:lastRow="0" w:firstColumn="0" w:lastColumn="0" w:oddVBand="0" w:evenVBand="0" w:oddHBand="0" w:evenHBand="0" w:firstRowFirstColumn="0" w:firstRowLastColumn="0" w:lastRowFirstColumn="0" w:lastRowLastColumn="0"/>
            </w:pPr>
            <w:r>
              <w:rPr>
                <w:color w:val="000000"/>
              </w:rPr>
              <w:t xml:space="preserve">Stonewall. (n.d.). </w:t>
            </w:r>
            <w:r>
              <w:rPr>
                <w:i/>
                <w:color w:val="000000"/>
              </w:rPr>
              <w:t>List of LGBTQ+ terms</w:t>
            </w:r>
            <w:r>
              <w:rPr>
                <w:color w:val="000000"/>
              </w:rPr>
              <w:t>.</w:t>
            </w:r>
            <w:hyperlink r:id="rId15">
              <w:r>
                <w:rPr>
                  <w:color w:val="000000"/>
                </w:rPr>
                <w:t xml:space="preserve"> </w:t>
              </w:r>
            </w:hyperlink>
            <w:hyperlink r:id="rId16">
              <w:r>
                <w:rPr>
                  <w:color w:val="16C45B"/>
                  <w:u w:val="single"/>
                </w:rPr>
                <w:t>https://www.stonewall.org.uk/resources/list-lgbtq-terms</w:t>
              </w:r>
            </w:hyperlink>
          </w:p>
          <w:p w14:paraId="39876625" w14:textId="77777777" w:rsidR="008377AB" w:rsidRDefault="00000000">
            <w:pPr>
              <w:widowControl w:val="0"/>
              <w:numPr>
                <w:ilvl w:val="0"/>
                <w:numId w:val="23"/>
              </w:numPr>
              <w:spacing w:line="216" w:lineRule="auto"/>
              <w:cnfStyle w:val="000000000000" w:firstRow="0" w:lastRow="0" w:firstColumn="0" w:lastColumn="0" w:oddVBand="0" w:evenVBand="0" w:oddHBand="0" w:evenHBand="0" w:firstRowFirstColumn="0" w:firstRowLastColumn="0" w:lastRowFirstColumn="0" w:lastRowLastColumn="0"/>
            </w:pPr>
            <w:r>
              <w:rPr>
                <w:color w:val="000000"/>
              </w:rPr>
              <w:t xml:space="preserve">Brighton &amp; Hove City Council. (2021). </w:t>
            </w:r>
            <w:r>
              <w:rPr>
                <w:i/>
                <w:color w:val="000000"/>
              </w:rPr>
              <w:t>Trans inclusion schools toolkit</w:t>
            </w:r>
            <w:r>
              <w:rPr>
                <w:color w:val="000000"/>
              </w:rPr>
              <w:t xml:space="preserve"> (Version 4).</w:t>
            </w:r>
            <w:hyperlink r:id="rId17">
              <w:r>
                <w:rPr>
                  <w:color w:val="000000"/>
                </w:rPr>
                <w:t xml:space="preserve"> </w:t>
              </w:r>
            </w:hyperlink>
            <w:hyperlink r:id="rId18">
              <w:r>
                <w:rPr>
                  <w:color w:val="16C45B"/>
                  <w:u w:val="single"/>
                </w:rPr>
                <w:t>https://mermaidsuk.org.uk/wp-content/uploads/2019/12/BHCC_Trans-Inclusion-Schools-Toolkit-_Version4_Sept21.pdf</w:t>
              </w:r>
            </w:hyperlink>
          </w:p>
          <w:p w14:paraId="1A665EFA" w14:textId="77777777" w:rsidR="008377AB" w:rsidRDefault="00000000">
            <w:pPr>
              <w:widowControl w:val="0"/>
              <w:numPr>
                <w:ilvl w:val="0"/>
                <w:numId w:val="23"/>
              </w:numPr>
              <w:spacing w:line="216" w:lineRule="auto"/>
              <w:cnfStyle w:val="000000000000" w:firstRow="0" w:lastRow="0" w:firstColumn="0" w:lastColumn="0" w:oddVBand="0" w:evenVBand="0" w:oddHBand="0" w:evenHBand="0" w:firstRowFirstColumn="0" w:firstRowLastColumn="0" w:lastRowFirstColumn="0" w:lastRowLastColumn="0"/>
            </w:pPr>
            <w:r>
              <w:rPr>
                <w:color w:val="000000"/>
              </w:rPr>
              <w:t xml:space="preserve">UNESCO. (2017). </w:t>
            </w:r>
            <w:r>
              <w:rPr>
                <w:i/>
                <w:color w:val="000000"/>
              </w:rPr>
              <w:t>A guide for ensuring inclusion and equity in education</w:t>
            </w:r>
            <w:r>
              <w:rPr>
                <w:color w:val="000000"/>
              </w:rPr>
              <w:t>. United Nations Educational, Scientific and Cultural Organization.</w:t>
            </w:r>
            <w:hyperlink r:id="rId19">
              <w:r>
                <w:rPr>
                  <w:color w:val="000000"/>
                </w:rPr>
                <w:t xml:space="preserve"> </w:t>
              </w:r>
            </w:hyperlink>
            <w:hyperlink r:id="rId20">
              <w:r>
                <w:rPr>
                  <w:color w:val="16C45B"/>
                  <w:u w:val="single"/>
                </w:rPr>
                <w:t>https://unesdoc.unesco.org/ark:/48223/pf0000253479</w:t>
              </w:r>
            </w:hyperlink>
          </w:p>
          <w:p w14:paraId="645665E0" w14:textId="77777777" w:rsidR="008377AB" w:rsidRDefault="00000000">
            <w:pPr>
              <w:widowControl w:val="0"/>
              <w:numPr>
                <w:ilvl w:val="0"/>
                <w:numId w:val="23"/>
              </w:numPr>
              <w:spacing w:line="216" w:lineRule="auto"/>
              <w:cnfStyle w:val="000000000000" w:firstRow="0" w:lastRow="0" w:firstColumn="0" w:lastColumn="0" w:oddVBand="0" w:evenVBand="0" w:oddHBand="0" w:evenHBand="0" w:firstRowFirstColumn="0" w:firstRowLastColumn="0" w:lastRowFirstColumn="0" w:lastRowLastColumn="0"/>
            </w:pPr>
            <w:r>
              <w:t xml:space="preserve">UNESCO. (2017). </w:t>
            </w:r>
            <w:r>
              <w:rPr>
                <w:i/>
              </w:rPr>
              <w:t>Cracking the code: Girls’ and women’s education in science, technology, engineering and mathematics (STEM)</w:t>
            </w:r>
            <w:r>
              <w:t xml:space="preserve">. United Nations Educational, Scientific and Cultural Organization. </w:t>
            </w:r>
            <w:hyperlink r:id="rId21">
              <w:r>
                <w:rPr>
                  <w:color w:val="1155CC"/>
                  <w:u w:val="single"/>
                </w:rPr>
                <w:t>https://unesdoc.unesco.org/ark:/48223/pf0000253479</w:t>
              </w:r>
            </w:hyperlink>
            <w:r>
              <w:t xml:space="preserve"> </w:t>
            </w:r>
          </w:p>
        </w:tc>
      </w:tr>
    </w:tbl>
    <w:p w14:paraId="4ACCD50E" w14:textId="77777777" w:rsidR="008377AB" w:rsidRDefault="008377AB">
      <w:pPr>
        <w:tabs>
          <w:tab w:val="left" w:pos="1620"/>
        </w:tabs>
        <w:spacing w:after="0"/>
      </w:pPr>
    </w:p>
    <w:tbl>
      <w:tblPr>
        <w:tblStyle w:val="aff9"/>
        <w:tblpPr w:leftFromText="180" w:rightFromText="180" w:vertAnchor="text" w:tblpY="224"/>
        <w:tblW w:w="9084" w:type="dxa"/>
        <w:tblInd w:w="0"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15"/>
        <w:gridCol w:w="6969"/>
      </w:tblGrid>
      <w:tr w:rsidR="008377AB" w14:paraId="098CBB05" w14:textId="77777777" w:rsidTr="008377AB">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4" w:type="dxa"/>
            <w:gridSpan w:val="2"/>
            <w:tcBorders>
              <w:top w:val="nil"/>
              <w:left w:val="nil"/>
              <w:bottom w:val="nil"/>
              <w:right w:val="nil"/>
            </w:tcBorders>
          </w:tcPr>
          <w:p w14:paraId="2F16677C" w14:textId="77777777" w:rsidR="008377AB" w:rsidRDefault="00000000">
            <w:pPr>
              <w:rPr>
                <w:color w:val="F2F2F2"/>
                <w:sz w:val="24"/>
                <w:szCs w:val="24"/>
              </w:rPr>
            </w:pPr>
            <w:r>
              <w:rPr>
                <w:color w:val="F2F2F2"/>
                <w:sz w:val="24"/>
                <w:szCs w:val="24"/>
              </w:rPr>
              <w:t>CONTENUTI DELL’UNITÀ</w:t>
            </w:r>
          </w:p>
        </w:tc>
      </w:tr>
      <w:tr w:rsidR="008377AB" w:rsidRPr="00554A88" w14:paraId="526F9055" w14:textId="77777777" w:rsidTr="008377AB">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15" w:type="dxa"/>
          </w:tcPr>
          <w:p w14:paraId="76EF606A" w14:textId="77777777" w:rsidR="008377AB" w:rsidRDefault="00000000">
            <w:proofErr w:type="spellStart"/>
            <w:r>
              <w:t>Introduzione</w:t>
            </w:r>
            <w:proofErr w:type="spellEnd"/>
          </w:p>
        </w:tc>
        <w:tc>
          <w:tcPr>
            <w:tcW w:w="6969" w:type="dxa"/>
          </w:tcPr>
          <w:p w14:paraId="5852CC26" w14:textId="77777777" w:rsidR="008377AB" w:rsidRPr="00554A88" w:rsidRDefault="00000000">
            <w:pPr>
              <w:spacing w:after="200"/>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 xml:space="preserve">Le disuguaglianze di genere nelle classi di informatica potrebbero scoraggiare la partecipazione delle e degli studenti, particolarmente di colore che non si sentono rappresentate e rappresentati, ad esempio le ragazze. L’adozione di pratiche inclusive di genere permette al personale </w:t>
            </w:r>
            <w:r w:rsidRPr="00554A88">
              <w:rPr>
                <w:lang w:val="it-IT"/>
              </w:rPr>
              <w:lastRenderedPageBreak/>
              <w:t>formatore di creare ambienti di apprendimento più egualitari, in cui tutte le e tutti gli studenti si sentono apprezzati e supportati.</w:t>
            </w:r>
          </w:p>
          <w:p w14:paraId="7B6EC191" w14:textId="77777777" w:rsidR="008377AB" w:rsidRPr="00554A88" w:rsidRDefault="00000000">
            <w:pPr>
              <w:widowControl w:val="0"/>
              <w:spacing w:before="240" w:after="240" w:line="276"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In questa unità, le e i discenti apprenderanno a:</w:t>
            </w:r>
          </w:p>
          <w:p w14:paraId="6304C9DD" w14:textId="77777777" w:rsidR="008377AB" w:rsidRPr="00554A88" w:rsidRDefault="00000000">
            <w:pPr>
              <w:widowControl w:val="0"/>
              <w:numPr>
                <w:ilvl w:val="0"/>
                <w:numId w:val="21"/>
              </w:numPr>
              <w:spacing w:before="24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lang w:val="it-IT"/>
              </w:rPr>
            </w:pPr>
            <w:r w:rsidRPr="00554A88">
              <w:rPr>
                <w:lang w:val="it-IT"/>
              </w:rPr>
              <w:t>Riconoscere l’importanza dell’insegnamento e della valutazione inclusive in termini di genere nell’educazione all’informatica</w:t>
            </w:r>
          </w:p>
          <w:p w14:paraId="49C11C98" w14:textId="77777777" w:rsidR="008377AB" w:rsidRPr="00554A88" w:rsidRDefault="00000000">
            <w:pPr>
              <w:widowControl w:val="0"/>
              <w:numPr>
                <w:ilvl w:val="0"/>
                <w:numId w:val="21"/>
              </w:numPr>
              <w:spacing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lang w:val="it-IT"/>
              </w:rPr>
            </w:pPr>
            <w:r w:rsidRPr="00554A88">
              <w:rPr>
                <w:lang w:val="it-IT"/>
              </w:rPr>
              <w:t>Riflettere in maniera critica sui pregiudizi di genere inconsci</w:t>
            </w:r>
          </w:p>
          <w:p w14:paraId="1072CFFC" w14:textId="77777777" w:rsidR="008377AB" w:rsidRPr="00554A88" w:rsidRDefault="00000000">
            <w:pPr>
              <w:widowControl w:val="0"/>
              <w:numPr>
                <w:ilvl w:val="0"/>
                <w:numId w:val="21"/>
              </w:numPr>
              <w:spacing w:line="276"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Comprendere la terminologia essenziale e allenare l’uso del linguaggio inclusivo</w:t>
            </w:r>
          </w:p>
          <w:p w14:paraId="1FA1A514" w14:textId="77777777" w:rsidR="008377AB" w:rsidRPr="00554A88" w:rsidRDefault="00000000">
            <w:pPr>
              <w:widowControl w:val="0"/>
              <w:numPr>
                <w:ilvl w:val="0"/>
                <w:numId w:val="21"/>
              </w:numPr>
              <w:spacing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lang w:val="it-IT"/>
              </w:rPr>
            </w:pPr>
            <w:r w:rsidRPr="00554A88">
              <w:rPr>
                <w:lang w:val="it-IT"/>
              </w:rPr>
              <w:t>Utilizzare il linguaggio inclusivo ed esempi rilevanti, al fine di creare un ambiente di apprendimento accogliente ed egualitario.</w:t>
            </w:r>
          </w:p>
          <w:p w14:paraId="1746C264" w14:textId="77777777" w:rsidR="008377AB" w:rsidRPr="00554A88" w:rsidRDefault="00000000">
            <w:pPr>
              <w:widowControl w:val="0"/>
              <w:numPr>
                <w:ilvl w:val="0"/>
                <w:numId w:val="21"/>
              </w:numPr>
              <w:spacing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lang w:val="it-IT"/>
              </w:rPr>
            </w:pPr>
            <w:r w:rsidRPr="00554A88">
              <w:rPr>
                <w:lang w:val="it-IT"/>
              </w:rPr>
              <w:t>Modificare i metodi di valutazione in modo che siano giusti e che supportino l’apprendimento di tutte le e tutti i discenti.</w:t>
            </w:r>
          </w:p>
          <w:p w14:paraId="109C2CCE" w14:textId="77777777" w:rsidR="008377AB" w:rsidRPr="00554A88" w:rsidRDefault="00000000">
            <w:pPr>
              <w:widowControl w:val="0"/>
              <w:numPr>
                <w:ilvl w:val="0"/>
                <w:numId w:val="21"/>
              </w:numPr>
              <w:spacing w:after="24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lang w:val="it-IT"/>
              </w:rPr>
            </w:pPr>
            <w:r w:rsidRPr="00554A88">
              <w:rPr>
                <w:lang w:val="it-IT"/>
              </w:rPr>
              <w:t>Attuare strategie formative pratiche che promuovano attivamente l’inclusione e incoraggino la partecipazione delle e degli studenti sottorappresentati.</w:t>
            </w:r>
          </w:p>
        </w:tc>
      </w:tr>
      <w:tr w:rsidR="008377AB" w:rsidRPr="00554A88" w14:paraId="79D259FE" w14:textId="77777777" w:rsidTr="008377AB">
        <w:trPr>
          <w:trHeight w:val="417"/>
        </w:trPr>
        <w:tc>
          <w:tcPr>
            <w:cnfStyle w:val="001000000000" w:firstRow="0" w:lastRow="0" w:firstColumn="1" w:lastColumn="0" w:oddVBand="0" w:evenVBand="0" w:oddHBand="0" w:evenHBand="0" w:firstRowFirstColumn="0" w:firstRowLastColumn="0" w:lastRowFirstColumn="0" w:lastRowLastColumn="0"/>
            <w:tcW w:w="2115" w:type="dxa"/>
            <w:vMerge w:val="restart"/>
          </w:tcPr>
          <w:p w14:paraId="1D01013F" w14:textId="77777777" w:rsidR="008377AB" w:rsidRDefault="00000000">
            <w:proofErr w:type="spellStart"/>
            <w:r>
              <w:lastRenderedPageBreak/>
              <w:t>Attività</w:t>
            </w:r>
            <w:proofErr w:type="spellEnd"/>
            <w:r>
              <w:t xml:space="preserve"> </w:t>
            </w:r>
          </w:p>
          <w:p w14:paraId="4A9984BC" w14:textId="77777777" w:rsidR="008377AB" w:rsidRDefault="008377AB"/>
        </w:tc>
        <w:tc>
          <w:tcPr>
            <w:tcW w:w="6969" w:type="dxa"/>
          </w:tcPr>
          <w:p w14:paraId="7E85F8A2" w14:textId="77777777" w:rsidR="008377AB" w:rsidRDefault="00000000">
            <w:pPr>
              <w:pStyle w:val="Titolo3"/>
              <w:numPr>
                <w:ilvl w:val="0"/>
                <w:numId w:val="12"/>
              </w:numPr>
              <w:spacing w:before="280" w:after="80"/>
              <w:outlineLvl w:val="2"/>
              <w:cnfStyle w:val="000000000000" w:firstRow="0" w:lastRow="0" w:firstColumn="0" w:lastColumn="0" w:oddVBand="0" w:evenVBand="0" w:oddHBand="0" w:evenHBand="0" w:firstRowFirstColumn="0" w:firstRowLastColumn="0" w:lastRowFirstColumn="0" w:lastRowLastColumn="0"/>
            </w:pPr>
            <w:bookmarkStart w:id="0" w:name="_heading=h.wf3ug9ju0s3g" w:colFirst="0" w:colLast="0"/>
            <w:bookmarkEnd w:id="0"/>
            <w:r>
              <w:rPr>
                <w:i w:val="0"/>
                <w:u w:val="single"/>
              </w:rPr>
              <w:t xml:space="preserve">Saluti e </w:t>
            </w:r>
            <w:proofErr w:type="spellStart"/>
            <w:r>
              <w:rPr>
                <w:i w:val="0"/>
                <w:u w:val="single"/>
              </w:rPr>
              <w:t>introduzione</w:t>
            </w:r>
            <w:proofErr w:type="spellEnd"/>
            <w:r>
              <w:rPr>
                <w:i w:val="0"/>
                <w:u w:val="single"/>
              </w:rPr>
              <w:t xml:space="preserve"> (10 </w:t>
            </w:r>
            <w:proofErr w:type="spellStart"/>
            <w:r>
              <w:rPr>
                <w:i w:val="0"/>
                <w:u w:val="single"/>
              </w:rPr>
              <w:t>minuti</w:t>
            </w:r>
            <w:proofErr w:type="spellEnd"/>
            <w:r>
              <w:rPr>
                <w:i w:val="0"/>
                <w:u w:val="single"/>
              </w:rPr>
              <w:t>)</w:t>
            </w:r>
          </w:p>
          <w:p w14:paraId="74A064F8" w14:textId="77777777" w:rsidR="008377AB" w:rsidRPr="00554A88" w:rsidRDefault="00000000">
            <w:pPr>
              <w:spacing w:after="200"/>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br/>
              <w:t>Diapositive 3-6</w:t>
            </w:r>
            <w:r w:rsidRPr="00554A88">
              <w:rPr>
                <w:lang w:val="it-IT"/>
              </w:rPr>
              <w:br/>
            </w:r>
            <w:r w:rsidRPr="00554A88">
              <w:rPr>
                <w:b/>
                <w:lang w:val="it-IT"/>
              </w:rPr>
              <w:t>Scopo:</w:t>
            </w:r>
            <w:r w:rsidRPr="00554A88">
              <w:rPr>
                <w:b/>
                <w:sz w:val="26"/>
                <w:szCs w:val="26"/>
                <w:lang w:val="it-IT"/>
              </w:rPr>
              <w:t xml:space="preserve"> </w:t>
            </w:r>
            <w:r w:rsidRPr="00554A88">
              <w:rPr>
                <w:lang w:val="it-IT"/>
              </w:rPr>
              <w:t>questo primo gruppo di diapositive serve a presentare il modulo.</w:t>
            </w:r>
          </w:p>
          <w:p w14:paraId="484E83B1" w14:textId="77777777" w:rsidR="008377AB" w:rsidRPr="00554A88" w:rsidRDefault="00000000">
            <w:pPr>
              <w:pStyle w:val="Titolo3"/>
              <w:numPr>
                <w:ilvl w:val="0"/>
                <w:numId w:val="3"/>
              </w:numPr>
              <w:spacing w:before="240"/>
              <w:outlineLvl w:val="2"/>
              <w:cnfStyle w:val="000000000000" w:firstRow="0" w:lastRow="0" w:firstColumn="0" w:lastColumn="0" w:oddVBand="0" w:evenVBand="0" w:oddHBand="0" w:evenHBand="0" w:firstRowFirstColumn="0" w:firstRowLastColumn="0" w:lastRowFirstColumn="0" w:lastRowLastColumn="0"/>
              <w:rPr>
                <w:lang w:val="it-IT"/>
              </w:rPr>
            </w:pPr>
            <w:bookmarkStart w:id="1" w:name="_heading=h.uf4ya5pmtu5k" w:colFirst="0" w:colLast="0"/>
            <w:bookmarkEnd w:id="1"/>
            <w:proofErr w:type="spellStart"/>
            <w:r w:rsidRPr="00554A88">
              <w:rPr>
                <w:b w:val="0"/>
                <w:i w:val="0"/>
                <w:sz w:val="22"/>
                <w:szCs w:val="22"/>
                <w:lang w:val="it-IT"/>
              </w:rPr>
              <w:t>Da’</w:t>
            </w:r>
            <w:proofErr w:type="spellEnd"/>
            <w:r w:rsidRPr="00554A88">
              <w:rPr>
                <w:b w:val="0"/>
                <w:i w:val="0"/>
                <w:sz w:val="22"/>
                <w:szCs w:val="22"/>
                <w:lang w:val="it-IT"/>
              </w:rPr>
              <w:t xml:space="preserve"> un caldo benvenuto alle e ai discenti.</w:t>
            </w:r>
          </w:p>
          <w:p w14:paraId="071EF20C" w14:textId="77777777" w:rsidR="008377AB" w:rsidRDefault="00000000">
            <w:pPr>
              <w:numPr>
                <w:ilvl w:val="0"/>
                <w:numId w:val="3"/>
              </w:numPr>
              <w:cnfStyle w:val="000000000000" w:firstRow="0" w:lastRow="0" w:firstColumn="0" w:lastColumn="0" w:oddVBand="0" w:evenVBand="0" w:oddHBand="0" w:evenHBand="0" w:firstRowFirstColumn="0" w:firstRowLastColumn="0" w:lastRowFirstColumn="0" w:lastRowLastColumn="0"/>
            </w:pPr>
            <w:r>
              <w:t>Presenta il modulo.</w:t>
            </w:r>
          </w:p>
          <w:p w14:paraId="49387A8B" w14:textId="77777777" w:rsidR="008377AB" w:rsidRPr="00554A88" w:rsidRDefault="00000000">
            <w:pPr>
              <w:pStyle w:val="Titolo3"/>
              <w:numPr>
                <w:ilvl w:val="0"/>
                <w:numId w:val="3"/>
              </w:numPr>
              <w:outlineLvl w:val="2"/>
              <w:cnfStyle w:val="000000000000" w:firstRow="0" w:lastRow="0" w:firstColumn="0" w:lastColumn="0" w:oddVBand="0" w:evenVBand="0" w:oddHBand="0" w:evenHBand="0" w:firstRowFirstColumn="0" w:firstRowLastColumn="0" w:lastRowFirstColumn="0" w:lastRowLastColumn="0"/>
              <w:rPr>
                <w:lang w:val="it-IT"/>
              </w:rPr>
            </w:pPr>
            <w:bookmarkStart w:id="2" w:name="_heading=h.pzjbmulz6hv6" w:colFirst="0" w:colLast="0"/>
            <w:bookmarkEnd w:id="2"/>
            <w:r w:rsidRPr="00554A88">
              <w:rPr>
                <w:b w:val="0"/>
                <w:i w:val="0"/>
                <w:sz w:val="22"/>
                <w:szCs w:val="22"/>
                <w:lang w:val="it-IT"/>
              </w:rPr>
              <w:t>Spiega in che modo il modulo si ricollega al progetto TINKER</w:t>
            </w:r>
          </w:p>
          <w:p w14:paraId="16C20B94" w14:textId="77777777" w:rsidR="008377AB" w:rsidRPr="00554A88" w:rsidRDefault="00000000">
            <w:pPr>
              <w:numPr>
                <w:ilvl w:val="0"/>
                <w:numId w:val="3"/>
              </w:numPr>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Illustra i risultati attesi del modulo e il modo in cui sono in linea con il progetto TINKER e con il quadro educativo.</w:t>
            </w:r>
          </w:p>
          <w:p w14:paraId="2D42E184" w14:textId="77777777" w:rsidR="008377AB" w:rsidRPr="00554A88" w:rsidRDefault="00000000">
            <w:pPr>
              <w:numPr>
                <w:ilvl w:val="0"/>
                <w:numId w:val="3"/>
              </w:numPr>
              <w:spacing w:after="200"/>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Discuti collettivamente e trova un accordo sulle regole condivise per facilitare una discussione aperta e rispettosa.</w:t>
            </w:r>
          </w:p>
        </w:tc>
      </w:tr>
      <w:tr w:rsidR="008377AB" w:rsidRPr="00554A88" w14:paraId="6C091350" w14:textId="77777777" w:rsidTr="008377AB">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15" w:type="dxa"/>
            <w:vMerge/>
          </w:tcPr>
          <w:p w14:paraId="15D36BB3" w14:textId="77777777" w:rsidR="008377AB" w:rsidRPr="00554A88" w:rsidRDefault="008377AB">
            <w:pPr>
              <w:widowControl w:val="0"/>
              <w:pBdr>
                <w:top w:val="nil"/>
                <w:left w:val="nil"/>
                <w:bottom w:val="nil"/>
                <w:right w:val="nil"/>
                <w:between w:val="nil"/>
              </w:pBdr>
              <w:spacing w:line="276" w:lineRule="auto"/>
              <w:rPr>
                <w:lang w:val="it-IT"/>
              </w:rPr>
            </w:pPr>
          </w:p>
        </w:tc>
        <w:tc>
          <w:tcPr>
            <w:tcW w:w="6969" w:type="dxa"/>
          </w:tcPr>
          <w:p w14:paraId="6AD76068" w14:textId="77777777" w:rsidR="008377AB" w:rsidRPr="00554A88" w:rsidRDefault="00000000">
            <w:pPr>
              <w:pStyle w:val="Titolo3"/>
              <w:numPr>
                <w:ilvl w:val="0"/>
                <w:numId w:val="12"/>
              </w:numPr>
              <w:pBdr>
                <w:top w:val="nil"/>
                <w:left w:val="nil"/>
                <w:bottom w:val="nil"/>
                <w:right w:val="nil"/>
                <w:between w:val="nil"/>
              </w:pBdr>
              <w:spacing w:before="280" w:after="80"/>
              <w:outlineLvl w:val="2"/>
              <w:cnfStyle w:val="000000100000" w:firstRow="0" w:lastRow="0" w:firstColumn="0" w:lastColumn="0" w:oddVBand="0" w:evenVBand="0" w:oddHBand="1" w:evenHBand="0" w:firstRowFirstColumn="0" w:firstRowLastColumn="0" w:lastRowFirstColumn="0" w:lastRowLastColumn="0"/>
              <w:rPr>
                <w:i w:val="0"/>
                <w:lang w:val="it-IT"/>
              </w:rPr>
            </w:pPr>
            <w:bookmarkStart w:id="3" w:name="_heading=h.lfoatxlkv72b" w:colFirst="0" w:colLast="0"/>
            <w:bookmarkEnd w:id="3"/>
            <w:r w:rsidRPr="00554A88">
              <w:rPr>
                <w:i w:val="0"/>
                <w:u w:val="single"/>
                <w:lang w:val="it-IT"/>
              </w:rPr>
              <w:t>Condividere prospettive sul genere e l’informatica e presentare il modulo (15 minuti)</w:t>
            </w:r>
            <w:r w:rsidRPr="00554A88">
              <w:rPr>
                <w:i w:val="0"/>
                <w:u w:val="single"/>
                <w:lang w:val="it-IT"/>
              </w:rPr>
              <w:br/>
            </w:r>
          </w:p>
          <w:p w14:paraId="639A6054" w14:textId="77777777" w:rsidR="008377AB" w:rsidRPr="00554A88" w:rsidRDefault="00000000">
            <w:pPr>
              <w:spacing w:after="200"/>
              <w:cnfStyle w:val="000000100000" w:firstRow="0" w:lastRow="0" w:firstColumn="0" w:lastColumn="0" w:oddVBand="0" w:evenVBand="0" w:oddHBand="1" w:evenHBand="0" w:firstRowFirstColumn="0" w:firstRowLastColumn="0" w:lastRowFirstColumn="0" w:lastRowLastColumn="0"/>
              <w:rPr>
                <w:b/>
                <w:lang w:val="it-IT"/>
              </w:rPr>
            </w:pPr>
            <w:r w:rsidRPr="00554A88">
              <w:rPr>
                <w:b/>
                <w:lang w:val="it-IT"/>
              </w:rPr>
              <w:t>2.1. Attività 1: esplorare i pregiudizi di genere nell’ambito dell’informatica (diapositiva 7)</w:t>
            </w:r>
          </w:p>
          <w:p w14:paraId="346E5BBF" w14:textId="77777777" w:rsidR="008377AB" w:rsidRPr="00554A88" w:rsidRDefault="00000000">
            <w:pPr>
              <w:numPr>
                <w:ilvl w:val="0"/>
                <w:numId w:val="6"/>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Sondaggio di riscaldamento: serviti di uno strumento digitale per condurre un sondaggio interattivo (</w:t>
            </w:r>
            <w:proofErr w:type="spellStart"/>
            <w:r w:rsidRPr="00554A88">
              <w:rPr>
                <w:lang w:val="it-IT"/>
              </w:rPr>
              <w:t>Mentimeter</w:t>
            </w:r>
            <w:proofErr w:type="spellEnd"/>
            <w:r w:rsidRPr="00554A88">
              <w:rPr>
                <w:lang w:val="it-IT"/>
              </w:rPr>
              <w:t xml:space="preserve">, </w:t>
            </w:r>
            <w:proofErr w:type="spellStart"/>
            <w:r w:rsidRPr="00554A88">
              <w:rPr>
                <w:lang w:val="it-IT"/>
              </w:rPr>
              <w:t>Kahoot</w:t>
            </w:r>
            <w:proofErr w:type="spellEnd"/>
            <w:r w:rsidRPr="00554A88">
              <w:rPr>
                <w:lang w:val="it-IT"/>
              </w:rPr>
              <w:t>, ecc.) ed esplorare la rappresentazione di genere nell’informatica.</w:t>
            </w:r>
          </w:p>
          <w:p w14:paraId="08C27114" w14:textId="77777777" w:rsidR="008377AB" w:rsidRPr="00554A88" w:rsidRDefault="00000000">
            <w:pPr>
              <w:numPr>
                <w:ilvl w:val="0"/>
                <w:numId w:val="6"/>
              </w:numPr>
              <w:spacing w:after="20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Discussione: chiedi alle e ai partecipanti di condividere le loro esperienze o percezioni relative alla rappresentazione di genere nelle loro classi.</w:t>
            </w:r>
          </w:p>
          <w:p w14:paraId="2678B2B5" w14:textId="77777777" w:rsidR="008377AB" w:rsidRPr="00554A88" w:rsidRDefault="00000000">
            <w:pPr>
              <w:spacing w:after="200" w:line="259" w:lineRule="auto"/>
              <w:cnfStyle w:val="000000100000" w:firstRow="0" w:lastRow="0" w:firstColumn="0" w:lastColumn="0" w:oddVBand="0" w:evenVBand="0" w:oddHBand="1" w:evenHBand="0" w:firstRowFirstColumn="0" w:firstRowLastColumn="0" w:lastRowFirstColumn="0" w:lastRowLastColumn="0"/>
              <w:rPr>
                <w:b/>
                <w:lang w:val="it-IT"/>
              </w:rPr>
            </w:pPr>
            <w:r w:rsidRPr="00554A88">
              <w:rPr>
                <w:b/>
                <w:lang w:val="it-IT"/>
              </w:rPr>
              <w:t>2.2. Disparità di genere nell’educazione all’informatica e alle STEM (diapositiva 8)</w:t>
            </w:r>
          </w:p>
          <w:p w14:paraId="7F6C8432" w14:textId="77777777" w:rsidR="008377AB" w:rsidRPr="00554A88" w:rsidRDefault="00000000">
            <w:pPr>
              <w:spacing w:after="20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b/>
                <w:lang w:val="it-IT"/>
              </w:rPr>
              <w:lastRenderedPageBreak/>
              <w:t>Scopo</w:t>
            </w:r>
            <w:r w:rsidRPr="00554A88">
              <w:rPr>
                <w:lang w:val="it-IT"/>
              </w:rPr>
              <w:t>: cogli l’opportunità di presentare il modulo, enfatizzando le disparità di genere nell’educazione all’informatica ed esplorando i motivi per cui l’inclusione di genere è essenziale in tale ambito.</w:t>
            </w:r>
          </w:p>
          <w:p w14:paraId="01186615" w14:textId="77777777" w:rsidR="008377AB" w:rsidRPr="00554A88" w:rsidRDefault="00000000">
            <w:pPr>
              <w:numPr>
                <w:ilvl w:val="0"/>
                <w:numId w:val="11"/>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Le donne rappresentano ⅓ delle persone laureate nelle STEM  (</w:t>
            </w:r>
            <w:hyperlink r:id="rId22">
              <w:r w:rsidRPr="00554A88">
                <w:rPr>
                  <w:color w:val="1155CC"/>
                  <w:u w:val="single"/>
                  <w:lang w:val="it-IT"/>
                </w:rPr>
                <w:t>Eurostat, 2022</w:t>
              </w:r>
            </w:hyperlink>
            <w:r w:rsidRPr="00554A88">
              <w:rPr>
                <w:lang w:val="it-IT"/>
              </w:rPr>
              <w:t>) e ⅕ delle figure esperte in ambito informatico (</w:t>
            </w:r>
            <w:hyperlink r:id="rId23">
              <w:r w:rsidRPr="00554A88">
                <w:rPr>
                  <w:color w:val="1155CC"/>
                  <w:u w:val="single"/>
                  <w:lang w:val="it-IT"/>
                </w:rPr>
                <w:t>Digital Decade Progress Report, 2024</w:t>
              </w:r>
            </w:hyperlink>
            <w:r w:rsidRPr="00554A88">
              <w:rPr>
                <w:lang w:val="it-IT"/>
              </w:rPr>
              <w:t>)</w:t>
            </w:r>
          </w:p>
          <w:p w14:paraId="2010E71B" w14:textId="77777777" w:rsidR="008377AB" w:rsidRPr="00554A88" w:rsidRDefault="00000000">
            <w:pPr>
              <w:numPr>
                <w:ilvl w:val="0"/>
                <w:numId w:val="11"/>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Le ragazze in giovane età tendono a ottenere risultati migliori in informatica rispetto ai ragazzi. Tuttavia, sono più propense a perdere interesse nelle STEM con l’età (</w:t>
            </w:r>
            <w:proofErr w:type="spellStart"/>
            <w:r>
              <w:fldChar w:fldCharType="begin"/>
            </w:r>
            <w:r w:rsidRPr="00554A88">
              <w:rPr>
                <w:lang w:val="it-IT"/>
              </w:rPr>
              <w:instrText>HYPERLINK "https://op.europa.eu/en/web/eu-law-and-publications/publication-detail/-/publication/67d5a207-4da1-11ec-91ac-01aa75ed71a1" \h</w:instrText>
            </w:r>
            <w:r>
              <w:fldChar w:fldCharType="separate"/>
            </w:r>
            <w:r w:rsidRPr="00554A88">
              <w:rPr>
                <w:color w:val="1155CC"/>
                <w:u w:val="single"/>
                <w:lang w:val="it-IT"/>
              </w:rPr>
              <w:t>SheFigures</w:t>
            </w:r>
            <w:proofErr w:type="spellEnd"/>
            <w:r w:rsidRPr="00554A88">
              <w:rPr>
                <w:color w:val="1155CC"/>
                <w:u w:val="single"/>
                <w:lang w:val="it-IT"/>
              </w:rPr>
              <w:t>, 2021</w:t>
            </w:r>
            <w:r>
              <w:rPr>
                <w:color w:val="1155CC"/>
                <w:u w:val="single"/>
              </w:rPr>
              <w:fldChar w:fldCharType="end"/>
            </w:r>
            <w:r w:rsidRPr="00554A88">
              <w:rPr>
                <w:lang w:val="it-IT"/>
              </w:rPr>
              <w:t xml:space="preserve">). </w:t>
            </w:r>
          </w:p>
          <w:p w14:paraId="437EC87B" w14:textId="77777777" w:rsidR="008377AB" w:rsidRPr="00554A88" w:rsidRDefault="00000000">
            <w:pPr>
              <w:numPr>
                <w:ilvl w:val="0"/>
                <w:numId w:val="11"/>
              </w:numPr>
              <w:spacing w:after="20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 xml:space="preserve">L’interesse nell’informatica sembra subire un calo repentino nelle ragazze durante i primi anni della scuola secondaria di primo grado (circa 11-12 anni), con un recupero minimo negli anni formativi successivi. </w:t>
            </w:r>
          </w:p>
          <w:p w14:paraId="71DDFB92" w14:textId="77777777" w:rsidR="008377AB" w:rsidRPr="00554A88" w:rsidRDefault="00000000">
            <w:pPr>
              <w:spacing w:after="20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b/>
                <w:lang w:val="it-IT"/>
              </w:rPr>
              <w:t>Risultato:</w:t>
            </w:r>
            <w:r w:rsidRPr="00554A88">
              <w:rPr>
                <w:lang w:val="it-IT"/>
              </w:rPr>
              <w:t xml:space="preserve"> le e i docenti acquisiranno una maggiore comprensione delle disparità di genere e delle sfide nei contesti educativi, in particolare in relazione all’educazione all’informatica e alle STEM.</w:t>
            </w:r>
          </w:p>
        </w:tc>
      </w:tr>
      <w:tr w:rsidR="008377AB" w:rsidRPr="00554A88" w14:paraId="410FD02A" w14:textId="77777777" w:rsidTr="008377AB">
        <w:trPr>
          <w:trHeight w:val="417"/>
        </w:trPr>
        <w:tc>
          <w:tcPr>
            <w:cnfStyle w:val="001000000000" w:firstRow="0" w:lastRow="0" w:firstColumn="1" w:lastColumn="0" w:oddVBand="0" w:evenVBand="0" w:oddHBand="0" w:evenHBand="0" w:firstRowFirstColumn="0" w:firstRowLastColumn="0" w:lastRowFirstColumn="0" w:lastRowLastColumn="0"/>
            <w:tcW w:w="2115" w:type="dxa"/>
            <w:vMerge/>
          </w:tcPr>
          <w:p w14:paraId="3336C6E5" w14:textId="77777777" w:rsidR="008377AB" w:rsidRPr="00554A88" w:rsidRDefault="008377AB">
            <w:pPr>
              <w:widowControl w:val="0"/>
              <w:pBdr>
                <w:top w:val="nil"/>
                <w:left w:val="nil"/>
                <w:bottom w:val="nil"/>
                <w:right w:val="nil"/>
                <w:between w:val="nil"/>
              </w:pBdr>
              <w:spacing w:line="276" w:lineRule="auto"/>
              <w:rPr>
                <w:lang w:val="it-IT"/>
              </w:rPr>
            </w:pPr>
          </w:p>
        </w:tc>
        <w:tc>
          <w:tcPr>
            <w:tcW w:w="6969" w:type="dxa"/>
          </w:tcPr>
          <w:p w14:paraId="57790925" w14:textId="77777777" w:rsidR="008377AB" w:rsidRPr="00554A88" w:rsidRDefault="00000000">
            <w:pPr>
              <w:pStyle w:val="Titolo3"/>
              <w:numPr>
                <w:ilvl w:val="0"/>
                <w:numId w:val="12"/>
              </w:numPr>
              <w:pBdr>
                <w:top w:val="nil"/>
                <w:left w:val="nil"/>
                <w:bottom w:val="nil"/>
                <w:right w:val="nil"/>
                <w:between w:val="nil"/>
              </w:pBdr>
              <w:spacing w:before="280" w:after="80"/>
              <w:outlineLvl w:val="2"/>
              <w:cnfStyle w:val="000000000000" w:firstRow="0" w:lastRow="0" w:firstColumn="0" w:lastColumn="0" w:oddVBand="0" w:evenVBand="0" w:oddHBand="0" w:evenHBand="0" w:firstRowFirstColumn="0" w:firstRowLastColumn="0" w:lastRowFirstColumn="0" w:lastRowLastColumn="0"/>
              <w:rPr>
                <w:i w:val="0"/>
                <w:lang w:val="it-IT"/>
              </w:rPr>
            </w:pPr>
            <w:bookmarkStart w:id="4" w:name="_heading=h.xfqpikpgufl" w:colFirst="0" w:colLast="0"/>
            <w:bookmarkEnd w:id="4"/>
            <w:r w:rsidRPr="00554A88">
              <w:rPr>
                <w:i w:val="0"/>
                <w:u w:val="single"/>
                <w:lang w:val="it-IT"/>
              </w:rPr>
              <w:t>Definire la terminologia utilizzata nelle discussioni sull’inclusione di genere (15 minuti)</w:t>
            </w:r>
          </w:p>
          <w:p w14:paraId="5960B4FE" w14:textId="77777777" w:rsidR="008377AB" w:rsidRPr="00554A88" w:rsidRDefault="00000000">
            <w:pPr>
              <w:pBdr>
                <w:top w:val="nil"/>
                <w:left w:val="nil"/>
                <w:bottom w:val="nil"/>
                <w:right w:val="nil"/>
                <w:between w:val="nil"/>
              </w:pBdr>
              <w:spacing w:after="200" w:line="259" w:lineRule="auto"/>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br/>
              <w:t>Diapositiva 9</w:t>
            </w:r>
            <w:r w:rsidRPr="00554A88">
              <w:rPr>
                <w:b/>
                <w:lang w:val="it-IT"/>
              </w:rPr>
              <w:br/>
              <w:t>Scopo:</w:t>
            </w:r>
            <w:r w:rsidRPr="00554A88">
              <w:rPr>
                <w:lang w:val="it-IT"/>
              </w:rPr>
              <w:t xml:space="preserve"> introduci</w:t>
            </w:r>
            <w:r w:rsidRPr="00554A88">
              <w:rPr>
                <w:b/>
                <w:lang w:val="it-IT"/>
              </w:rPr>
              <w:t xml:space="preserve"> </w:t>
            </w:r>
            <w:r w:rsidRPr="00554A88">
              <w:rPr>
                <w:lang w:val="it-IT"/>
              </w:rPr>
              <w:t>termini chiave servendoti della nuvola di parole della presentazione ppt, chiedendo alle e ai partecipanti il loro parere riguardo la definizione di ciascun termine.</w:t>
            </w:r>
          </w:p>
          <w:p w14:paraId="6E0C6B55" w14:textId="77777777" w:rsidR="008377AB" w:rsidRPr="00554A88" w:rsidRDefault="00000000">
            <w:pPr>
              <w:numPr>
                <w:ilvl w:val="0"/>
                <w:numId w:val="10"/>
              </w:numPr>
              <w:pBdr>
                <w:top w:val="nil"/>
                <w:left w:val="nil"/>
                <w:bottom w:val="nil"/>
                <w:right w:val="nil"/>
                <w:between w:val="nil"/>
              </w:pBdr>
              <w:spacing w:line="259" w:lineRule="auto"/>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 xml:space="preserve">Per ulteriori informazioni sulla definizione dei termini (in inglese), vedi </w:t>
            </w:r>
            <w:hyperlink r:id="rId24">
              <w:proofErr w:type="spellStart"/>
              <w:r w:rsidRPr="00554A88">
                <w:rPr>
                  <w:color w:val="1155CC"/>
                  <w:u w:val="single"/>
                  <w:lang w:val="it-IT"/>
                </w:rPr>
                <w:t>Stonewall’s</w:t>
              </w:r>
              <w:proofErr w:type="spellEnd"/>
              <w:r w:rsidRPr="00554A88">
                <w:rPr>
                  <w:color w:val="1155CC"/>
                  <w:u w:val="single"/>
                  <w:lang w:val="it-IT"/>
                </w:rPr>
                <w:t xml:space="preserve"> </w:t>
              </w:r>
              <w:proofErr w:type="spellStart"/>
              <w:r w:rsidRPr="00554A88">
                <w:rPr>
                  <w:color w:val="1155CC"/>
                  <w:u w:val="single"/>
                  <w:lang w:val="it-IT"/>
                </w:rPr>
                <w:t>glossary</w:t>
              </w:r>
              <w:proofErr w:type="spellEnd"/>
            </w:hyperlink>
            <w:r w:rsidRPr="00554A88">
              <w:rPr>
                <w:lang w:val="it-IT"/>
              </w:rPr>
              <w:t xml:space="preserve"> e il </w:t>
            </w:r>
            <w:hyperlink r:id="rId25">
              <w:proofErr w:type="spellStart"/>
              <w:r w:rsidRPr="00554A88">
                <w:rPr>
                  <w:color w:val="1155CC"/>
                  <w:u w:val="single"/>
                  <w:lang w:val="it-IT"/>
                </w:rPr>
                <w:t>Mermaids</w:t>
              </w:r>
              <w:proofErr w:type="spellEnd"/>
              <w:r w:rsidRPr="00554A88">
                <w:rPr>
                  <w:color w:val="1155CC"/>
                  <w:u w:val="single"/>
                  <w:lang w:val="it-IT"/>
                </w:rPr>
                <w:t xml:space="preserve"> Trans Inclusion Schools Toolkit</w:t>
              </w:r>
            </w:hyperlink>
            <w:r w:rsidRPr="00554A88">
              <w:rPr>
                <w:lang w:val="it-IT"/>
              </w:rPr>
              <w:t xml:space="preserve">. </w:t>
            </w:r>
          </w:p>
          <w:p w14:paraId="6D7E8DC4" w14:textId="77777777" w:rsidR="008377AB" w:rsidRPr="00554A88" w:rsidRDefault="008377AB">
            <w:pPr>
              <w:pBdr>
                <w:top w:val="nil"/>
                <w:left w:val="nil"/>
                <w:bottom w:val="nil"/>
                <w:right w:val="nil"/>
                <w:between w:val="nil"/>
              </w:pBdr>
              <w:spacing w:line="259" w:lineRule="auto"/>
              <w:ind w:left="720"/>
              <w:cnfStyle w:val="000000000000" w:firstRow="0" w:lastRow="0" w:firstColumn="0" w:lastColumn="0" w:oddVBand="0" w:evenVBand="0" w:oddHBand="0" w:evenHBand="0" w:firstRowFirstColumn="0" w:firstRowLastColumn="0" w:lastRowFirstColumn="0" w:lastRowLastColumn="0"/>
              <w:rPr>
                <w:lang w:val="it-IT"/>
              </w:rPr>
            </w:pPr>
          </w:p>
          <w:p w14:paraId="2B119C01" w14:textId="77777777" w:rsidR="008377AB" w:rsidRPr="00554A88" w:rsidRDefault="00000000">
            <w:pPr>
              <w:pBdr>
                <w:top w:val="nil"/>
                <w:left w:val="nil"/>
                <w:bottom w:val="nil"/>
                <w:right w:val="nil"/>
                <w:between w:val="nil"/>
              </w:pBdr>
              <w:spacing w:after="200" w:line="259" w:lineRule="auto"/>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Ricorda alle e ai discenti che:</w:t>
            </w:r>
          </w:p>
          <w:p w14:paraId="5D9A9952" w14:textId="77777777" w:rsidR="008377AB" w:rsidRPr="00554A88" w:rsidRDefault="00000000">
            <w:pPr>
              <w:numPr>
                <w:ilvl w:val="0"/>
                <w:numId w:val="20"/>
              </w:numPr>
              <w:pBdr>
                <w:top w:val="nil"/>
                <w:left w:val="nil"/>
                <w:bottom w:val="nil"/>
                <w:right w:val="nil"/>
                <w:between w:val="nil"/>
              </w:pBdr>
              <w:spacing w:line="259" w:lineRule="auto"/>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il linguaggio si evolve nel tempo</w:t>
            </w:r>
          </w:p>
          <w:p w14:paraId="0EF8B928" w14:textId="77777777" w:rsidR="008377AB" w:rsidRPr="00554A88" w:rsidRDefault="00000000">
            <w:pPr>
              <w:numPr>
                <w:ilvl w:val="0"/>
                <w:numId w:val="20"/>
              </w:numPr>
              <w:pBdr>
                <w:top w:val="nil"/>
                <w:left w:val="nil"/>
                <w:bottom w:val="nil"/>
                <w:right w:val="nil"/>
                <w:between w:val="nil"/>
              </w:pBdr>
              <w:spacing w:line="259" w:lineRule="auto"/>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bisogna permettere a tutti gli individui di descrivere autonomamente</w:t>
            </w:r>
          </w:p>
          <w:p w14:paraId="76E3E940" w14:textId="77777777" w:rsidR="008377AB" w:rsidRPr="00554A88" w:rsidRDefault="00000000">
            <w:pPr>
              <w:numPr>
                <w:ilvl w:val="0"/>
                <w:numId w:val="20"/>
              </w:numPr>
              <w:pBdr>
                <w:top w:val="nil"/>
                <w:left w:val="nil"/>
                <w:bottom w:val="nil"/>
                <w:right w:val="nil"/>
                <w:between w:val="nil"/>
              </w:pBdr>
              <w:spacing w:after="200" w:line="259" w:lineRule="auto"/>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 xml:space="preserve">Evitare gli stereotipi di genere e promuovere un ambiente inclusivo, in cui le e gli studenti possano sperimentare ed esprimersi liberamente, apporta vantaggi a </w:t>
            </w:r>
            <w:r w:rsidRPr="00554A88">
              <w:rPr>
                <w:b/>
                <w:lang w:val="it-IT"/>
              </w:rPr>
              <w:t>tutte le altre e tutti gli altri</w:t>
            </w:r>
            <w:r w:rsidRPr="00554A88">
              <w:rPr>
                <w:lang w:val="it-IT"/>
              </w:rPr>
              <w:t>.</w:t>
            </w:r>
          </w:p>
          <w:p w14:paraId="20784585" w14:textId="77777777" w:rsidR="008377AB" w:rsidRPr="00554A88" w:rsidRDefault="00000000">
            <w:pPr>
              <w:pBdr>
                <w:top w:val="nil"/>
                <w:left w:val="nil"/>
                <w:bottom w:val="nil"/>
                <w:right w:val="nil"/>
                <w:between w:val="nil"/>
              </w:pBdr>
              <w:spacing w:after="200" w:line="259" w:lineRule="auto"/>
              <w:cnfStyle w:val="000000000000" w:firstRow="0" w:lastRow="0" w:firstColumn="0" w:lastColumn="0" w:oddVBand="0" w:evenVBand="0" w:oddHBand="0" w:evenHBand="0" w:firstRowFirstColumn="0" w:firstRowLastColumn="0" w:lastRowFirstColumn="0" w:lastRowLastColumn="0"/>
              <w:rPr>
                <w:lang w:val="it-IT"/>
              </w:rPr>
            </w:pPr>
            <w:r w:rsidRPr="00554A88">
              <w:rPr>
                <w:b/>
                <w:lang w:val="it-IT"/>
              </w:rPr>
              <w:t xml:space="preserve">Risultato: </w:t>
            </w:r>
            <w:r w:rsidRPr="00554A88">
              <w:rPr>
                <w:lang w:val="it-IT"/>
              </w:rPr>
              <w:t>le e i docenti inizieranno a riflettere sulle questioni relative al genere e all’istruzione e saranno in grado di utilizzare e comprendere la terminologia utilizzata. Familiarizzeranno, inoltre, con un linguaggio che le e i loro studenti potrebbero già utilizzare per descrivere se stesse, se stessi e le loro esperienze.</w:t>
            </w:r>
          </w:p>
        </w:tc>
      </w:tr>
      <w:tr w:rsidR="008377AB" w:rsidRPr="00554A88" w14:paraId="6943F6D0" w14:textId="77777777" w:rsidTr="008377AB">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15" w:type="dxa"/>
            <w:vMerge/>
          </w:tcPr>
          <w:p w14:paraId="16B1B4BA" w14:textId="77777777" w:rsidR="008377AB" w:rsidRPr="00554A88" w:rsidRDefault="008377AB">
            <w:pPr>
              <w:widowControl w:val="0"/>
              <w:pBdr>
                <w:top w:val="nil"/>
                <w:left w:val="nil"/>
                <w:bottom w:val="nil"/>
                <w:right w:val="nil"/>
                <w:between w:val="nil"/>
              </w:pBdr>
              <w:spacing w:line="276" w:lineRule="auto"/>
              <w:rPr>
                <w:lang w:val="it-IT"/>
              </w:rPr>
            </w:pPr>
          </w:p>
        </w:tc>
        <w:tc>
          <w:tcPr>
            <w:tcW w:w="6969" w:type="dxa"/>
          </w:tcPr>
          <w:p w14:paraId="3A6EF267" w14:textId="77777777" w:rsidR="008377AB" w:rsidRPr="00554A88" w:rsidRDefault="00000000">
            <w:pPr>
              <w:pStyle w:val="Titolo3"/>
              <w:numPr>
                <w:ilvl w:val="0"/>
                <w:numId w:val="12"/>
              </w:numPr>
              <w:pBdr>
                <w:top w:val="nil"/>
                <w:left w:val="nil"/>
                <w:bottom w:val="nil"/>
                <w:right w:val="nil"/>
                <w:between w:val="nil"/>
              </w:pBdr>
              <w:spacing w:before="280" w:after="80"/>
              <w:outlineLvl w:val="2"/>
              <w:cnfStyle w:val="000000100000" w:firstRow="0" w:lastRow="0" w:firstColumn="0" w:lastColumn="0" w:oddVBand="0" w:evenVBand="0" w:oddHBand="1" w:evenHBand="0" w:firstRowFirstColumn="0" w:firstRowLastColumn="0" w:lastRowFirstColumn="0" w:lastRowLastColumn="0"/>
              <w:rPr>
                <w:i w:val="0"/>
                <w:lang w:val="it-IT"/>
              </w:rPr>
            </w:pPr>
            <w:bookmarkStart w:id="5" w:name="_heading=h.mmjzl0pe0y30" w:colFirst="0" w:colLast="0"/>
            <w:bookmarkEnd w:id="5"/>
            <w:r w:rsidRPr="00554A88">
              <w:rPr>
                <w:i w:val="0"/>
                <w:u w:val="single"/>
                <w:lang w:val="it-IT"/>
              </w:rPr>
              <w:t>Comprendere le ragioni alla base della disparità di genere in ambito informatico (15 minuti)</w:t>
            </w:r>
          </w:p>
          <w:p w14:paraId="4D56210D" w14:textId="77777777" w:rsidR="008377AB" w:rsidRPr="00554A88"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b/>
                <w:lang w:val="it-IT"/>
              </w:rPr>
              <w:br/>
            </w:r>
            <w:r w:rsidRPr="00554A88">
              <w:rPr>
                <w:lang w:val="it-IT"/>
              </w:rPr>
              <w:t>Diapositive 10-11</w:t>
            </w:r>
            <w:r w:rsidRPr="00554A88">
              <w:rPr>
                <w:lang w:val="it-IT"/>
              </w:rPr>
              <w:br/>
              <w:t>Scopo</w:t>
            </w:r>
            <w:r w:rsidRPr="00554A88">
              <w:rPr>
                <w:b/>
                <w:lang w:val="it-IT"/>
              </w:rPr>
              <w:t xml:space="preserve">: </w:t>
            </w:r>
            <w:r w:rsidRPr="00554A88">
              <w:rPr>
                <w:lang w:val="it-IT"/>
              </w:rPr>
              <w:t>facilita la discussione di gruppo sul tema dei fattori che contribuiscono alle disuguaglianza di genere nell’ambito dell’informatica e delle STEM. Incoraggia le e i partecipanti a pensare in maniera critica e a riflettere sui vari strati dell’influenza, dalla società più ampia al contesto della classe.</w:t>
            </w:r>
          </w:p>
          <w:p w14:paraId="7C3EBC12" w14:textId="77777777" w:rsidR="008377AB" w:rsidRPr="00554A88"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 xml:space="preserve">Puoi scegliere di condurre un’attività di gruppo in cui le e i discenti collaborano alla creazione di una </w:t>
            </w:r>
            <w:r w:rsidRPr="00554A88">
              <w:rPr>
                <w:i/>
                <w:lang w:val="it-IT"/>
              </w:rPr>
              <w:t xml:space="preserve">mappa mentale </w:t>
            </w:r>
            <w:r w:rsidRPr="00554A88">
              <w:rPr>
                <w:lang w:val="it-IT"/>
              </w:rPr>
              <w:t>della questione analizzata, organizzata secondo quattro livelli:</w:t>
            </w:r>
          </w:p>
          <w:p w14:paraId="0DC20244" w14:textId="77777777" w:rsidR="008377AB" w:rsidRDefault="00000000">
            <w:pPr>
              <w:numPr>
                <w:ilvl w:val="0"/>
                <w:numId w:val="24"/>
              </w:numPr>
              <w:spacing w:before="240" w:line="259" w:lineRule="auto"/>
              <w:cnfStyle w:val="000000100000" w:firstRow="0" w:lastRow="0" w:firstColumn="0" w:lastColumn="0" w:oddVBand="0" w:evenVBand="0" w:oddHBand="1" w:evenHBand="0" w:firstRowFirstColumn="0" w:firstRowLastColumn="0" w:lastRowFirstColumn="0" w:lastRowLastColumn="0"/>
            </w:pPr>
            <w:proofErr w:type="spellStart"/>
            <w:r>
              <w:t>livello</w:t>
            </w:r>
            <w:proofErr w:type="spellEnd"/>
            <w:r>
              <w:t xml:space="preserve"> </w:t>
            </w:r>
            <w:proofErr w:type="spellStart"/>
            <w:r>
              <w:t>societario</w:t>
            </w:r>
            <w:proofErr w:type="spellEnd"/>
          </w:p>
          <w:p w14:paraId="66DDAAC4" w14:textId="77777777" w:rsidR="008377AB" w:rsidRDefault="00000000">
            <w:pPr>
              <w:numPr>
                <w:ilvl w:val="0"/>
                <w:numId w:val="24"/>
              </w:numPr>
              <w:spacing w:line="259" w:lineRule="auto"/>
              <w:cnfStyle w:val="000000100000" w:firstRow="0" w:lastRow="0" w:firstColumn="0" w:lastColumn="0" w:oddVBand="0" w:evenVBand="0" w:oddHBand="1" w:evenHBand="0" w:firstRowFirstColumn="0" w:firstRowLastColumn="0" w:lastRowFirstColumn="0" w:lastRowLastColumn="0"/>
            </w:pPr>
            <w:proofErr w:type="spellStart"/>
            <w:r>
              <w:t>livello</w:t>
            </w:r>
            <w:proofErr w:type="spellEnd"/>
            <w:r>
              <w:t xml:space="preserve"> </w:t>
            </w:r>
            <w:proofErr w:type="spellStart"/>
            <w:r>
              <w:t>dell’interno</w:t>
            </w:r>
            <w:proofErr w:type="spellEnd"/>
            <w:r>
              <w:t xml:space="preserve"> </w:t>
            </w:r>
            <w:proofErr w:type="spellStart"/>
            <w:r>
              <w:t>istituto</w:t>
            </w:r>
            <w:proofErr w:type="spellEnd"/>
            <w:r>
              <w:t xml:space="preserve"> </w:t>
            </w:r>
            <w:proofErr w:type="spellStart"/>
            <w:r>
              <w:t>scolastico</w:t>
            </w:r>
            <w:proofErr w:type="spellEnd"/>
          </w:p>
          <w:p w14:paraId="60ED06A8" w14:textId="77777777" w:rsidR="008377AB" w:rsidRDefault="00000000">
            <w:pPr>
              <w:numPr>
                <w:ilvl w:val="0"/>
                <w:numId w:val="24"/>
              </w:numPr>
              <w:spacing w:line="259" w:lineRule="auto"/>
              <w:cnfStyle w:val="000000100000" w:firstRow="0" w:lastRow="0" w:firstColumn="0" w:lastColumn="0" w:oddVBand="0" w:evenVBand="0" w:oddHBand="1" w:evenHBand="0" w:firstRowFirstColumn="0" w:firstRowLastColumn="0" w:lastRowFirstColumn="0" w:lastRowLastColumn="0"/>
            </w:pPr>
            <w:proofErr w:type="spellStart"/>
            <w:r>
              <w:t>livello</w:t>
            </w:r>
            <w:proofErr w:type="spellEnd"/>
            <w:r>
              <w:t xml:space="preserve"> </w:t>
            </w:r>
            <w:proofErr w:type="spellStart"/>
            <w:r>
              <w:t>delle</w:t>
            </w:r>
            <w:proofErr w:type="spellEnd"/>
            <w:r>
              <w:t xml:space="preserve"> </w:t>
            </w:r>
            <w:proofErr w:type="spellStart"/>
            <w:r>
              <w:t>interazioni</w:t>
            </w:r>
            <w:proofErr w:type="spellEnd"/>
            <w:r>
              <w:t xml:space="preserve"> </w:t>
            </w:r>
            <w:proofErr w:type="spellStart"/>
            <w:r>
              <w:t>insegnante-studente</w:t>
            </w:r>
            <w:proofErr w:type="spellEnd"/>
          </w:p>
          <w:p w14:paraId="002532A0" w14:textId="77777777" w:rsidR="008377AB" w:rsidRPr="00554A88" w:rsidRDefault="00000000">
            <w:pPr>
              <w:numPr>
                <w:ilvl w:val="0"/>
                <w:numId w:val="24"/>
              </w:numPr>
              <w:spacing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livello delle dinamiche di classe tra pari</w:t>
            </w:r>
          </w:p>
          <w:p w14:paraId="2E13E491" w14:textId="77777777" w:rsidR="008377AB" w:rsidRPr="00554A88"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Utilizza i seguenti spunti di discussione e spiegazione per guidare il dibattito.</w:t>
            </w:r>
          </w:p>
          <w:p w14:paraId="4C344A3F" w14:textId="77777777" w:rsidR="008377AB" w:rsidRDefault="00000000">
            <w:pPr>
              <w:numPr>
                <w:ilvl w:val="0"/>
                <w:numId w:val="13"/>
              </w:numPr>
              <w:pBdr>
                <w:top w:val="nil"/>
                <w:left w:val="nil"/>
                <w:bottom w:val="nil"/>
                <w:right w:val="nil"/>
                <w:between w:val="nil"/>
              </w:pBdr>
              <w:spacing w:after="200" w:line="259" w:lineRule="auto"/>
              <w:cnfStyle w:val="000000100000" w:firstRow="0" w:lastRow="0" w:firstColumn="0" w:lastColumn="0" w:oddVBand="0" w:evenVBand="0" w:oddHBand="1" w:evenHBand="0" w:firstRowFirstColumn="0" w:firstRowLastColumn="0" w:lastRowFirstColumn="0" w:lastRowLastColumn="0"/>
              <w:rPr>
                <w:b/>
              </w:rPr>
            </w:pPr>
            <w:proofErr w:type="spellStart"/>
            <w:r>
              <w:rPr>
                <w:b/>
              </w:rPr>
              <w:t>Livello</w:t>
            </w:r>
            <w:proofErr w:type="spellEnd"/>
            <w:r>
              <w:rPr>
                <w:b/>
              </w:rPr>
              <w:t xml:space="preserve"> </w:t>
            </w:r>
            <w:proofErr w:type="spellStart"/>
            <w:r>
              <w:rPr>
                <w:b/>
              </w:rPr>
              <w:t>societario</w:t>
            </w:r>
            <w:proofErr w:type="spellEnd"/>
          </w:p>
          <w:p w14:paraId="0D112443" w14:textId="77777777" w:rsidR="008377AB" w:rsidRPr="00554A88" w:rsidRDefault="00000000">
            <w:pPr>
              <w:pBdr>
                <w:top w:val="nil"/>
                <w:left w:val="nil"/>
                <w:bottom w:val="nil"/>
                <w:right w:val="nil"/>
                <w:between w:val="nil"/>
              </w:pBdr>
              <w:spacing w:after="20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Le norme sociali e le aspettative familiari influenzano le idee delle e degli studenti sul genere e sulla scelte delle materie. Questi messaggi provenienti dalla società in cui viviamo suggeriscono spesso la maggiore propensione dei ragazzi per le materie informatiche, rispetto alle ragazze.</w:t>
            </w:r>
          </w:p>
          <w:p w14:paraId="65A8DBDB" w14:textId="77777777" w:rsidR="008377A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proofErr w:type="spellStart"/>
            <w:r>
              <w:t>Punti</w:t>
            </w:r>
            <w:proofErr w:type="spellEnd"/>
            <w:r>
              <w:t xml:space="preserve"> </w:t>
            </w:r>
            <w:proofErr w:type="spellStart"/>
            <w:r>
              <w:t>chiave</w:t>
            </w:r>
            <w:proofErr w:type="spellEnd"/>
            <w:r>
              <w:t>:</w:t>
            </w:r>
          </w:p>
          <w:p w14:paraId="1A073F45" w14:textId="77777777" w:rsidR="008377AB" w:rsidRPr="00554A88" w:rsidRDefault="00000000">
            <w:pPr>
              <w:numPr>
                <w:ilvl w:val="0"/>
                <w:numId w:val="22"/>
              </w:numPr>
              <w:spacing w:before="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Le ragazze e le minoranze di genere sono più frequentemente esposte sin dalla giovane età a stereotipi secondo cui l’informatica sarebbe un ambito “maschile”.</w:t>
            </w:r>
          </w:p>
          <w:p w14:paraId="23130453" w14:textId="77777777" w:rsidR="008377AB" w:rsidRPr="00554A88" w:rsidRDefault="00000000">
            <w:pPr>
              <w:numPr>
                <w:ilvl w:val="0"/>
                <w:numId w:val="22"/>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Queste convinzioni possono influire sulla loro fiducia in sé stesse e stessi, nonché sul loro interesse, prima ancora che frequentino una lezione di informatica.</w:t>
            </w:r>
          </w:p>
          <w:p w14:paraId="2B9997DB" w14:textId="77777777" w:rsidR="008377AB" w:rsidRPr="00554A88" w:rsidRDefault="00000000">
            <w:pPr>
              <w:numPr>
                <w:ilvl w:val="0"/>
                <w:numId w:val="22"/>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Quando le ragazze e le minoranze di genere ritengono di essere meno capaci o di avere meno esperienze in ambito informatico rispetto ai ragazzi, potrebbero essere scoraggiate o scoraggiati dal parteciparvi.</w:t>
            </w:r>
          </w:p>
          <w:p w14:paraId="3E636CC6" w14:textId="77777777" w:rsidR="008377AB" w:rsidRPr="00554A88" w:rsidRDefault="00000000">
            <w:pPr>
              <w:numPr>
                <w:ilvl w:val="0"/>
                <w:numId w:val="22"/>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 xml:space="preserve">La mancata consapevolezza della varietà di percorsi professionali in ambito informatico (e delle relative competenze), potrebbero limitarne la motivazione. </w:t>
            </w:r>
          </w:p>
          <w:p w14:paraId="0750B4F6" w14:textId="77777777" w:rsidR="008377AB" w:rsidRPr="00554A88" w:rsidRDefault="00000000">
            <w:pPr>
              <w:numPr>
                <w:ilvl w:val="0"/>
                <w:numId w:val="22"/>
              </w:numPr>
              <w:spacing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 xml:space="preserve">Tali fattori combinati contribuiscono alla minore fiducia delle ragazze e delle minoranze di genere nelle proprie abilità </w:t>
            </w:r>
            <w:r w:rsidRPr="00554A88">
              <w:rPr>
                <w:lang w:val="it-IT"/>
              </w:rPr>
              <w:lastRenderedPageBreak/>
              <w:t>informatiche, ne limitano le aspirazioni professionali e impedisce loro di immaginarsi in ruoli in ambito informatico.</w:t>
            </w:r>
          </w:p>
          <w:p w14:paraId="3E3AEA5A" w14:textId="77777777" w:rsidR="008377AB" w:rsidRPr="00554A88"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i/>
                <w:lang w:val="it-IT"/>
              </w:rPr>
              <w:t>Spunto di discussione:</w:t>
            </w:r>
            <w:r w:rsidRPr="00554A88">
              <w:rPr>
                <w:lang w:val="it-IT"/>
              </w:rPr>
              <w:t xml:space="preserve"> riuscite a pensare a un messaggio—in ambito familiare, mediatico o societario—che possa scoraggiare le ragazze e le minoranze di genere dalla scelta di studi e di una carriera in ambito informatico?</w:t>
            </w:r>
          </w:p>
          <w:p w14:paraId="753D663E" w14:textId="77777777" w:rsidR="008377AB" w:rsidRDefault="00000000">
            <w:pPr>
              <w:numPr>
                <w:ilvl w:val="0"/>
                <w:numId w:val="13"/>
              </w:numPr>
              <w:pBdr>
                <w:top w:val="nil"/>
                <w:left w:val="nil"/>
                <w:bottom w:val="nil"/>
                <w:right w:val="nil"/>
                <w:between w:val="nil"/>
              </w:pBdr>
              <w:spacing w:after="200" w:line="259" w:lineRule="auto"/>
              <w:cnfStyle w:val="000000100000" w:firstRow="0" w:lastRow="0" w:firstColumn="0" w:lastColumn="0" w:oddVBand="0" w:evenVBand="0" w:oddHBand="1" w:evenHBand="0" w:firstRowFirstColumn="0" w:firstRowLastColumn="0" w:lastRowFirstColumn="0" w:lastRowLastColumn="0"/>
              <w:rPr>
                <w:b/>
              </w:rPr>
            </w:pPr>
            <w:proofErr w:type="spellStart"/>
            <w:r>
              <w:rPr>
                <w:b/>
              </w:rPr>
              <w:t>Livello</w:t>
            </w:r>
            <w:proofErr w:type="spellEnd"/>
            <w:r>
              <w:rPr>
                <w:b/>
              </w:rPr>
              <w:t xml:space="preserve"> </w:t>
            </w:r>
            <w:proofErr w:type="spellStart"/>
            <w:r>
              <w:rPr>
                <w:b/>
              </w:rPr>
              <w:t>dell’intero</w:t>
            </w:r>
            <w:proofErr w:type="spellEnd"/>
            <w:r>
              <w:rPr>
                <w:b/>
              </w:rPr>
              <w:t xml:space="preserve"> </w:t>
            </w:r>
            <w:proofErr w:type="spellStart"/>
            <w:r>
              <w:rPr>
                <w:b/>
              </w:rPr>
              <w:t>istituto</w:t>
            </w:r>
            <w:proofErr w:type="spellEnd"/>
            <w:r>
              <w:rPr>
                <w:b/>
              </w:rPr>
              <w:t xml:space="preserve"> </w:t>
            </w:r>
            <w:proofErr w:type="spellStart"/>
            <w:r>
              <w:rPr>
                <w:b/>
              </w:rPr>
              <w:t>scolastico</w:t>
            </w:r>
            <w:proofErr w:type="spellEnd"/>
          </w:p>
          <w:p w14:paraId="4F8859C6" w14:textId="77777777" w:rsidR="008377AB" w:rsidRPr="00554A88"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 xml:space="preserve">Al livello della scuola, discuti con le e i discente dell’influenza del “programma nascosto”, ossia le norme e i valori non espressi condivisi della scolastica di tutti i giorni. </w:t>
            </w:r>
          </w:p>
          <w:p w14:paraId="3CE8E782" w14:textId="77777777" w:rsidR="008377A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proofErr w:type="spellStart"/>
            <w:r>
              <w:t>Punti</w:t>
            </w:r>
            <w:proofErr w:type="spellEnd"/>
            <w:r>
              <w:t xml:space="preserve"> </w:t>
            </w:r>
            <w:proofErr w:type="spellStart"/>
            <w:r>
              <w:t>chiave</w:t>
            </w:r>
            <w:proofErr w:type="spellEnd"/>
            <w:r>
              <w:t>:</w:t>
            </w:r>
          </w:p>
          <w:p w14:paraId="4E063341" w14:textId="77777777" w:rsidR="008377AB" w:rsidRPr="00554A88" w:rsidRDefault="00000000">
            <w:pPr>
              <w:numPr>
                <w:ilvl w:val="0"/>
                <w:numId w:val="14"/>
              </w:numPr>
              <w:spacing w:before="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Le scuole potrebbero, pur involontariamente, consolidare le norme di genere attraverso i materiali didattici, le aspettative delle e degli insegnanti o anche con le modalità con le e gli studenti sono incoraggiati a seguire determinate materie.</w:t>
            </w:r>
          </w:p>
          <w:p w14:paraId="5EE913F6" w14:textId="77777777" w:rsidR="008377AB" w:rsidRPr="00554A88" w:rsidRDefault="00000000">
            <w:pPr>
              <w:numPr>
                <w:ilvl w:val="0"/>
                <w:numId w:val="14"/>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Messaggi sottintesi di questo genere rischiano di influenzare le idee delle e degli studenti sulle loro abilità e potenziali carriere future.</w:t>
            </w:r>
          </w:p>
          <w:p w14:paraId="2EAFABEB" w14:textId="77777777" w:rsidR="008377AB" w:rsidRPr="00554A88" w:rsidRDefault="00000000">
            <w:pPr>
              <w:numPr>
                <w:ilvl w:val="0"/>
                <w:numId w:val="14"/>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L’ideologia di genere nelle scuole può influire sull’autostima e sulla motivazione a lungo termine delle e degli studenti, specialmente negli ambiti dell’informatica e delle STEM.</w:t>
            </w:r>
          </w:p>
          <w:p w14:paraId="24633143" w14:textId="77777777" w:rsidR="008377AB" w:rsidRPr="00554A88" w:rsidRDefault="00000000">
            <w:pPr>
              <w:numPr>
                <w:ilvl w:val="0"/>
                <w:numId w:val="14"/>
              </w:numPr>
              <w:spacing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anche l’atteggiamento delle e degli insegnanti influenza il modo in cui le compagne, i compagni e persino i genitori considerano il potenziale delle bambine, delle ragazze e delle minoranze di genere nell’informatica e nelle STEM, creando così un effetto a catena.</w:t>
            </w:r>
          </w:p>
          <w:p w14:paraId="0C65977B" w14:textId="77777777" w:rsidR="008377AB" w:rsidRPr="00554A88"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i/>
                <w:lang w:val="it-IT"/>
              </w:rPr>
              <w:t>Spunto per la discussione</w:t>
            </w:r>
            <w:r w:rsidRPr="00554A88">
              <w:rPr>
                <w:lang w:val="it-IT"/>
              </w:rPr>
              <w:t>: riuscite a fornire alcuni esempi di messaggi non espressi da parte della scuola relativi a chi “appartiene” all’ambito informatico o scientifico?</w:t>
            </w:r>
          </w:p>
          <w:p w14:paraId="30710FBE" w14:textId="77777777" w:rsidR="008377AB" w:rsidRDefault="00000000">
            <w:pPr>
              <w:numPr>
                <w:ilvl w:val="0"/>
                <w:numId w:val="13"/>
              </w:numPr>
              <w:pBdr>
                <w:top w:val="nil"/>
                <w:left w:val="nil"/>
                <w:bottom w:val="nil"/>
                <w:right w:val="nil"/>
                <w:between w:val="nil"/>
              </w:pBdr>
              <w:spacing w:after="200" w:line="259" w:lineRule="auto"/>
              <w:cnfStyle w:val="000000100000" w:firstRow="0" w:lastRow="0" w:firstColumn="0" w:lastColumn="0" w:oddVBand="0" w:evenVBand="0" w:oddHBand="1" w:evenHBand="0" w:firstRowFirstColumn="0" w:firstRowLastColumn="0" w:lastRowFirstColumn="0" w:lastRowLastColumn="0"/>
              <w:rPr>
                <w:b/>
              </w:rPr>
            </w:pPr>
            <w:proofErr w:type="spellStart"/>
            <w:r>
              <w:rPr>
                <w:b/>
              </w:rPr>
              <w:t>Livello</w:t>
            </w:r>
            <w:proofErr w:type="spellEnd"/>
            <w:r>
              <w:rPr>
                <w:b/>
              </w:rPr>
              <w:t xml:space="preserve"> </w:t>
            </w:r>
            <w:proofErr w:type="spellStart"/>
            <w:r>
              <w:rPr>
                <w:b/>
              </w:rPr>
              <w:t>delle</w:t>
            </w:r>
            <w:proofErr w:type="spellEnd"/>
            <w:r>
              <w:rPr>
                <w:b/>
              </w:rPr>
              <w:t xml:space="preserve"> </w:t>
            </w:r>
            <w:proofErr w:type="spellStart"/>
            <w:r>
              <w:rPr>
                <w:b/>
              </w:rPr>
              <w:t>interazioni</w:t>
            </w:r>
            <w:proofErr w:type="spellEnd"/>
            <w:r>
              <w:rPr>
                <w:b/>
              </w:rPr>
              <w:t xml:space="preserve"> </w:t>
            </w:r>
            <w:proofErr w:type="spellStart"/>
            <w:r>
              <w:rPr>
                <w:b/>
              </w:rPr>
              <w:t>studente-insegnante</w:t>
            </w:r>
            <w:proofErr w:type="spellEnd"/>
          </w:p>
          <w:p w14:paraId="7C75BF7D" w14:textId="77777777" w:rsidR="008377AB" w:rsidRPr="00554A88"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Spiega in che modo le e i docenti possono influenzare, anche involontariamente, la partecipazione delle e degli studenti all’informatica.</w:t>
            </w:r>
          </w:p>
          <w:p w14:paraId="4C402BF3" w14:textId="77777777" w:rsidR="008377A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proofErr w:type="spellStart"/>
            <w:r>
              <w:t>Punti</w:t>
            </w:r>
            <w:proofErr w:type="spellEnd"/>
            <w:r>
              <w:t xml:space="preserve"> </w:t>
            </w:r>
            <w:proofErr w:type="spellStart"/>
            <w:r>
              <w:t>chiave</w:t>
            </w:r>
            <w:proofErr w:type="spellEnd"/>
            <w:r>
              <w:t>:</w:t>
            </w:r>
          </w:p>
          <w:p w14:paraId="54E2E7C3" w14:textId="77777777" w:rsidR="008377AB" w:rsidRPr="00554A88" w:rsidRDefault="00000000">
            <w:pPr>
              <w:numPr>
                <w:ilvl w:val="0"/>
                <w:numId w:val="1"/>
              </w:numPr>
              <w:spacing w:before="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Le e i docenti (spesso inconsapevolmente) hanno aspettative distorte rispetto alle abilità delle e degli studenti, interagendo in maniera diversa con le ragazze e con i ragazzi durante le lezioni di informatica o delle STEM.</w:t>
            </w:r>
          </w:p>
          <w:p w14:paraId="1FE1FF8E" w14:textId="77777777" w:rsidR="008377AB" w:rsidRPr="00554A88" w:rsidRDefault="00000000">
            <w:pPr>
              <w:numPr>
                <w:ilvl w:val="0"/>
                <w:numId w:val="1"/>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lastRenderedPageBreak/>
              <w:t>Ad esempio, i ragazzi potrebbero ricevere domande più complesse, mentre le ragazze potrebbero ricevere più aiuto o essere lodate per aver provato anziché per le loro abilità.</w:t>
            </w:r>
          </w:p>
          <w:p w14:paraId="3C15AAA6" w14:textId="77777777" w:rsidR="008377AB" w:rsidRPr="00554A88" w:rsidRDefault="00000000">
            <w:pPr>
              <w:numPr>
                <w:ilvl w:val="0"/>
                <w:numId w:val="1"/>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Modelli del genere rafforzano l’idea secondo cui i ragazzi siano, per natura, “più portati” per le materie più tecniche.</w:t>
            </w:r>
          </w:p>
          <w:p w14:paraId="264087C2" w14:textId="77777777" w:rsidR="008377AB" w:rsidRPr="00554A88" w:rsidRDefault="00000000">
            <w:pPr>
              <w:numPr>
                <w:ilvl w:val="0"/>
                <w:numId w:val="1"/>
              </w:numPr>
              <w:spacing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Le ragazze e le minoranze di genere, percependo la differenza di trattamento, potrebbero pensare di non appartenere a tali ambiti.</w:t>
            </w:r>
          </w:p>
          <w:p w14:paraId="14A4F512" w14:textId="77777777" w:rsidR="008377AB" w:rsidRPr="00554A88"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i/>
                <w:lang w:val="it-IT"/>
              </w:rPr>
              <w:t>Spunto per la discussione:</w:t>
            </w:r>
            <w:r w:rsidRPr="00554A88">
              <w:rPr>
                <w:lang w:val="it-IT"/>
              </w:rPr>
              <w:t xml:space="preserve"> quali comportamenti di classe o stili di insegnamento potrebbero supportare oppure scoraggiare le ragazze o le minoranze di genere nel perseguimento delle carriere STEM?</w:t>
            </w:r>
          </w:p>
          <w:p w14:paraId="175A73FB" w14:textId="77777777" w:rsidR="008377AB" w:rsidRPr="00554A88" w:rsidRDefault="00000000">
            <w:pPr>
              <w:numPr>
                <w:ilvl w:val="0"/>
                <w:numId w:val="13"/>
              </w:numPr>
              <w:spacing w:before="240" w:after="240" w:line="259" w:lineRule="auto"/>
              <w:cnfStyle w:val="000000100000" w:firstRow="0" w:lastRow="0" w:firstColumn="0" w:lastColumn="0" w:oddVBand="0" w:evenVBand="0" w:oddHBand="1" w:evenHBand="0" w:firstRowFirstColumn="0" w:firstRowLastColumn="0" w:lastRowFirstColumn="0" w:lastRowLastColumn="0"/>
              <w:rPr>
                <w:b/>
                <w:lang w:val="it-IT"/>
              </w:rPr>
            </w:pPr>
            <w:r w:rsidRPr="00554A88">
              <w:rPr>
                <w:b/>
                <w:lang w:val="it-IT"/>
              </w:rPr>
              <w:t>Livello delle dinamiche di classe tra pari</w:t>
            </w:r>
          </w:p>
          <w:p w14:paraId="04201FC1" w14:textId="77777777" w:rsidR="008377AB" w:rsidRPr="00554A88"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Sono le dinamiche sociali tra studenti, che possono avere un impatto tanto quanto le interazioni tra studenti e insegnanti. Le dinamiche tra pari, in particolare, influiscono fortemente le e gli studenti durante la scuola seconda, un periodo cruciale per lo sviluppo delle bambine e delle e degli studenti appartenenti alle minoranze di genere, che spesso perdono interesse nell’informatica.</w:t>
            </w:r>
          </w:p>
          <w:p w14:paraId="5F6EF219" w14:textId="77777777" w:rsidR="008377AB"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pPr>
            <w:proofErr w:type="spellStart"/>
            <w:r>
              <w:t>Punti</w:t>
            </w:r>
            <w:proofErr w:type="spellEnd"/>
            <w:r>
              <w:t xml:space="preserve"> </w:t>
            </w:r>
            <w:proofErr w:type="spellStart"/>
            <w:r>
              <w:t>chiave</w:t>
            </w:r>
            <w:proofErr w:type="spellEnd"/>
            <w:r>
              <w:t>:</w:t>
            </w:r>
          </w:p>
          <w:p w14:paraId="3E4A91C2" w14:textId="77777777" w:rsidR="008377AB" w:rsidRPr="00554A88" w:rsidRDefault="00000000">
            <w:pPr>
              <w:numPr>
                <w:ilvl w:val="0"/>
                <w:numId w:val="17"/>
              </w:numPr>
              <w:spacing w:before="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I ragazzi potrebbero tendere a interrompere le ragazze e le e gli studenti appartenenti a minoranze di genere, o a dominare le discussioni di classe.</w:t>
            </w:r>
          </w:p>
          <w:p w14:paraId="4DC68FCD" w14:textId="77777777" w:rsidR="008377AB" w:rsidRPr="00554A88" w:rsidRDefault="00000000">
            <w:pPr>
              <w:numPr>
                <w:ilvl w:val="0"/>
                <w:numId w:val="17"/>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I gruppi di pari potrebbero assegnarsi autonomamente ruoli di genere durante le attività di gruppo.</w:t>
            </w:r>
          </w:p>
          <w:p w14:paraId="55877A85" w14:textId="77777777" w:rsidR="008377AB" w:rsidRPr="00554A88" w:rsidRDefault="00000000">
            <w:pPr>
              <w:numPr>
                <w:ilvl w:val="0"/>
                <w:numId w:val="17"/>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 xml:space="preserve">Le ragazze e le e gli studenti appartenenti a minoranze di genere potrebbero essere soggetti a bullismo, </w:t>
            </w:r>
            <w:r w:rsidRPr="00554A88">
              <w:rPr>
                <w:i/>
                <w:lang w:val="it-IT"/>
              </w:rPr>
              <w:t>misgendering</w:t>
            </w:r>
            <w:r w:rsidRPr="00554A88">
              <w:rPr>
                <w:lang w:val="it-IT"/>
              </w:rPr>
              <w:t xml:space="preserve"> o esclusione durante le lezioni di informatica.</w:t>
            </w:r>
          </w:p>
          <w:p w14:paraId="4974325B" w14:textId="77777777" w:rsidR="008377AB" w:rsidRPr="00554A88" w:rsidRDefault="00000000">
            <w:pPr>
              <w:numPr>
                <w:ilvl w:val="0"/>
                <w:numId w:val="17"/>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 xml:space="preserve">Comportamenti sessisti, omofobi o transfobici tendono a creare un ambiente non sicuro o </w:t>
            </w:r>
            <w:proofErr w:type="spellStart"/>
            <w:r w:rsidRPr="00554A88">
              <w:rPr>
                <w:lang w:val="it-IT"/>
              </w:rPr>
              <w:t>inaccogliente</w:t>
            </w:r>
            <w:proofErr w:type="spellEnd"/>
            <w:r w:rsidRPr="00554A88">
              <w:rPr>
                <w:lang w:val="it-IT"/>
              </w:rPr>
              <w:t>.</w:t>
            </w:r>
          </w:p>
          <w:p w14:paraId="09BCB86F" w14:textId="77777777" w:rsidR="008377AB" w:rsidRPr="00554A88" w:rsidRDefault="00000000">
            <w:pPr>
              <w:numPr>
                <w:ilvl w:val="0"/>
                <w:numId w:val="17"/>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Esperienze simili scoraggiano le ragazze e altre e altri studenti marginalizzati dal perseguimento delle materie informatiche e STEM.</w:t>
            </w:r>
          </w:p>
          <w:p w14:paraId="27FC38F7" w14:textId="77777777" w:rsidR="008377AB" w:rsidRPr="00554A88" w:rsidRDefault="00000000">
            <w:pPr>
              <w:numPr>
                <w:ilvl w:val="0"/>
                <w:numId w:val="17"/>
              </w:numPr>
              <w:spacing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Le e gli insegnanti svolgono un ruolo essenziale nella risposta a comportamenti escludenti e nella promozione di comportamenti inclusivi.</w:t>
            </w:r>
          </w:p>
          <w:p w14:paraId="12222FE1" w14:textId="77777777" w:rsidR="008377AB" w:rsidRPr="00554A88"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i/>
                <w:lang w:val="it-IT"/>
              </w:rPr>
              <w:t>Spunto per la discussione:</w:t>
            </w:r>
            <w:r w:rsidRPr="00554A88">
              <w:rPr>
                <w:lang w:val="it-IT"/>
              </w:rPr>
              <w:t xml:space="preserve"> quali ruoli svolgono le compagne e i compagni di classe nel supporto o nell’esclusione delle altre e degli altri durante le lezioni di informatica?</w:t>
            </w:r>
          </w:p>
          <w:p w14:paraId="44937D8A" w14:textId="77777777" w:rsidR="008377AB" w:rsidRPr="00554A88" w:rsidRDefault="00000000">
            <w:pPr>
              <w:spacing w:before="240" w:after="24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 xml:space="preserve">Condividi il quadro di riferimento elaborato dall’UNESCO (diapositiva 12) per fornire una panoramica più ampia dei fattori che influenzano la partecipazione e il successo delle ragazze nell’educazione alle STEM. </w:t>
            </w:r>
          </w:p>
        </w:tc>
      </w:tr>
      <w:tr w:rsidR="008377AB" w:rsidRPr="00554A88" w14:paraId="175CB029" w14:textId="77777777" w:rsidTr="008377AB">
        <w:trPr>
          <w:trHeight w:val="417"/>
        </w:trPr>
        <w:tc>
          <w:tcPr>
            <w:cnfStyle w:val="001000000000" w:firstRow="0" w:lastRow="0" w:firstColumn="1" w:lastColumn="0" w:oddVBand="0" w:evenVBand="0" w:oddHBand="0" w:evenHBand="0" w:firstRowFirstColumn="0" w:firstRowLastColumn="0" w:lastRowFirstColumn="0" w:lastRowLastColumn="0"/>
            <w:tcW w:w="2115" w:type="dxa"/>
            <w:vMerge/>
          </w:tcPr>
          <w:p w14:paraId="6F60880A" w14:textId="77777777" w:rsidR="008377AB" w:rsidRPr="00554A88" w:rsidRDefault="008377AB">
            <w:pPr>
              <w:widowControl w:val="0"/>
              <w:pBdr>
                <w:top w:val="nil"/>
                <w:left w:val="nil"/>
                <w:bottom w:val="nil"/>
                <w:right w:val="nil"/>
                <w:between w:val="nil"/>
              </w:pBdr>
              <w:spacing w:line="276" w:lineRule="auto"/>
              <w:rPr>
                <w:lang w:val="it-IT"/>
              </w:rPr>
            </w:pPr>
          </w:p>
        </w:tc>
        <w:tc>
          <w:tcPr>
            <w:tcW w:w="6969" w:type="dxa"/>
          </w:tcPr>
          <w:p w14:paraId="654FD8D9" w14:textId="77777777" w:rsidR="008377AB" w:rsidRPr="00554A88" w:rsidRDefault="00000000">
            <w:pPr>
              <w:pStyle w:val="Titolo3"/>
              <w:numPr>
                <w:ilvl w:val="0"/>
                <w:numId w:val="12"/>
              </w:numPr>
              <w:pBdr>
                <w:top w:val="nil"/>
                <w:left w:val="nil"/>
                <w:bottom w:val="nil"/>
                <w:right w:val="nil"/>
                <w:between w:val="nil"/>
              </w:pBdr>
              <w:spacing w:before="280" w:after="80"/>
              <w:outlineLvl w:val="2"/>
              <w:cnfStyle w:val="000000000000" w:firstRow="0" w:lastRow="0" w:firstColumn="0" w:lastColumn="0" w:oddVBand="0" w:evenVBand="0" w:oddHBand="0" w:evenHBand="0" w:firstRowFirstColumn="0" w:firstRowLastColumn="0" w:lastRowFirstColumn="0" w:lastRowLastColumn="0"/>
              <w:rPr>
                <w:i w:val="0"/>
                <w:lang w:val="it-IT"/>
              </w:rPr>
            </w:pPr>
            <w:bookmarkStart w:id="6" w:name="_heading=h.yh90uqogsabc" w:colFirst="0" w:colLast="0"/>
            <w:bookmarkEnd w:id="6"/>
            <w:r w:rsidRPr="00554A88">
              <w:rPr>
                <w:i w:val="0"/>
                <w:u w:val="single"/>
                <w:lang w:val="it-IT"/>
              </w:rPr>
              <w:t>Affrontare i nostri pregiudizi di genere (10 minuti)</w:t>
            </w:r>
          </w:p>
          <w:p w14:paraId="433EE85B" w14:textId="77777777" w:rsidR="008377AB" w:rsidRPr="00554A88" w:rsidRDefault="00000000">
            <w:pPr>
              <w:cnfStyle w:val="000000000000" w:firstRow="0" w:lastRow="0" w:firstColumn="0" w:lastColumn="0" w:oddVBand="0" w:evenVBand="0" w:oddHBand="0" w:evenHBand="0" w:firstRowFirstColumn="0" w:firstRowLastColumn="0" w:lastRowFirstColumn="0" w:lastRowLastColumn="0"/>
              <w:rPr>
                <w:lang w:val="it-IT"/>
              </w:rPr>
            </w:pPr>
            <w:r w:rsidRPr="00554A88">
              <w:rPr>
                <w:b/>
                <w:lang w:val="it-IT"/>
              </w:rPr>
              <w:br/>
            </w:r>
            <w:r w:rsidRPr="00554A88">
              <w:rPr>
                <w:lang w:val="it-IT"/>
              </w:rPr>
              <w:t>Diapositiva 12</w:t>
            </w:r>
            <w:r w:rsidRPr="00554A88">
              <w:rPr>
                <w:lang w:val="it-IT"/>
              </w:rPr>
              <w:br/>
              <w:t>Scopo: introduci i pregiudizi consci e inconsci e, in particolare, i pregiudizi di genere. Aiuta le e i docenti a riflettere criticamente sui proprio pregiudizi.</w:t>
            </w:r>
          </w:p>
          <w:p w14:paraId="5F64B7A2" w14:textId="77777777" w:rsidR="008377AB" w:rsidRPr="00554A88" w:rsidRDefault="008377AB">
            <w:pPr>
              <w:cnfStyle w:val="000000000000" w:firstRow="0" w:lastRow="0" w:firstColumn="0" w:lastColumn="0" w:oddVBand="0" w:evenVBand="0" w:oddHBand="0" w:evenHBand="0" w:firstRowFirstColumn="0" w:firstRowLastColumn="0" w:lastRowFirstColumn="0" w:lastRowLastColumn="0"/>
              <w:rPr>
                <w:lang w:val="it-IT"/>
              </w:rPr>
            </w:pPr>
          </w:p>
          <w:p w14:paraId="35E5B41E" w14:textId="77777777" w:rsidR="008377AB" w:rsidRPr="00554A88" w:rsidRDefault="00000000">
            <w:pPr>
              <w:numPr>
                <w:ilvl w:val="0"/>
                <w:numId w:val="2"/>
              </w:numPr>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 xml:space="preserve">Introduci il tema dei pregiudizi di genere inconsci attraverso </w:t>
            </w:r>
            <w:hyperlink r:id="rId26">
              <w:r w:rsidRPr="00554A88">
                <w:rPr>
                  <w:color w:val="1155CC"/>
                  <w:u w:val="single"/>
                  <w:lang w:val="it-IT"/>
                </w:rPr>
                <w:t>questo</w:t>
              </w:r>
            </w:hyperlink>
            <w:r w:rsidRPr="00554A88">
              <w:rPr>
                <w:lang w:val="it-IT"/>
              </w:rPr>
              <w:t xml:space="preserve"> video (in inglese). </w:t>
            </w:r>
          </w:p>
          <w:p w14:paraId="483BBCD0" w14:textId="77777777" w:rsidR="008377AB" w:rsidRPr="00554A88" w:rsidRDefault="00000000">
            <w:pPr>
              <w:numPr>
                <w:ilvl w:val="0"/>
                <w:numId w:val="2"/>
              </w:numPr>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 xml:space="preserve">Facilita una discussione relativa ai pregiudizi consci e inconsci, chiedendo alle e ai partecipanti un riscontro riguardo al video. Ricorda loro che tutte e tutti hanno pregiudizi e che l’obiettivo dell’attività è ottenere maggiore crescita e consapevolezza, non giudicare o incolpare. </w:t>
            </w:r>
          </w:p>
          <w:p w14:paraId="36C75034" w14:textId="77777777" w:rsidR="008377AB" w:rsidRPr="00554A88" w:rsidRDefault="00000000">
            <w:pPr>
              <w:numPr>
                <w:ilvl w:val="0"/>
                <w:numId w:val="2"/>
              </w:numPr>
              <w:spacing w:after="200"/>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Nelle slide, forniamo una serie di domande per l’autoriflessione. Le e i partecipanti avranno alcuni minuti per raccontare, per iscritto e in privato, di un episodio in cui, secondo loro, hanno agito secondo pregiudizi.</w:t>
            </w:r>
            <w:r w:rsidRPr="00554A88">
              <w:rPr>
                <w:lang w:val="it-IT"/>
              </w:rPr>
              <w:br/>
              <w:t>Attività facoltativa: al termine della lezione, chiedi alle e agli studenti di rileggere l’episodio e di scrivere in che modo, ad oggi, si comporterebbero diversamente.</w:t>
            </w:r>
          </w:p>
        </w:tc>
      </w:tr>
      <w:tr w:rsidR="008377AB" w:rsidRPr="00554A88" w14:paraId="099AE2FD" w14:textId="77777777" w:rsidTr="008377AB">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15" w:type="dxa"/>
            <w:vMerge/>
          </w:tcPr>
          <w:p w14:paraId="59DEE37E" w14:textId="77777777" w:rsidR="008377AB" w:rsidRPr="00554A88" w:rsidRDefault="008377AB">
            <w:pPr>
              <w:widowControl w:val="0"/>
              <w:pBdr>
                <w:top w:val="nil"/>
                <w:left w:val="nil"/>
                <w:bottom w:val="nil"/>
                <w:right w:val="nil"/>
                <w:between w:val="nil"/>
              </w:pBdr>
              <w:spacing w:line="276" w:lineRule="auto"/>
              <w:rPr>
                <w:lang w:val="it-IT"/>
              </w:rPr>
            </w:pPr>
          </w:p>
        </w:tc>
        <w:tc>
          <w:tcPr>
            <w:tcW w:w="6969" w:type="dxa"/>
          </w:tcPr>
          <w:p w14:paraId="56CA475E" w14:textId="77777777" w:rsidR="008377AB" w:rsidRPr="00554A88" w:rsidRDefault="00000000">
            <w:pPr>
              <w:pStyle w:val="Titolo3"/>
              <w:numPr>
                <w:ilvl w:val="0"/>
                <w:numId w:val="12"/>
              </w:numPr>
              <w:pBdr>
                <w:top w:val="nil"/>
                <w:left w:val="nil"/>
                <w:bottom w:val="nil"/>
                <w:right w:val="nil"/>
                <w:between w:val="nil"/>
              </w:pBdr>
              <w:spacing w:before="280" w:after="80"/>
              <w:outlineLvl w:val="2"/>
              <w:cnfStyle w:val="000000100000" w:firstRow="0" w:lastRow="0" w:firstColumn="0" w:lastColumn="0" w:oddVBand="0" w:evenVBand="0" w:oddHBand="1" w:evenHBand="0" w:firstRowFirstColumn="0" w:firstRowLastColumn="0" w:lastRowFirstColumn="0" w:lastRowLastColumn="0"/>
              <w:rPr>
                <w:i w:val="0"/>
                <w:lang w:val="it-IT"/>
              </w:rPr>
            </w:pPr>
            <w:bookmarkStart w:id="7" w:name="_heading=h.vrwasvcbmygb" w:colFirst="0" w:colLast="0"/>
            <w:bookmarkEnd w:id="7"/>
            <w:r w:rsidRPr="00554A88">
              <w:rPr>
                <w:i w:val="0"/>
                <w:u w:val="single"/>
                <w:lang w:val="it-IT"/>
              </w:rPr>
              <w:t>Utilizzare linguaggio, risorse e valutazioni inclusive di genere (20 minuti)</w:t>
            </w:r>
          </w:p>
          <w:p w14:paraId="2920BEE3" w14:textId="77777777" w:rsidR="008377AB" w:rsidRPr="00554A88" w:rsidRDefault="00000000">
            <w:p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b/>
                <w:lang w:val="it-IT"/>
              </w:rPr>
              <w:br/>
            </w:r>
            <w:r w:rsidRPr="00554A88">
              <w:rPr>
                <w:lang w:val="it-IT"/>
              </w:rPr>
              <w:t>Diapositive 13-14</w:t>
            </w:r>
            <w:r w:rsidRPr="00554A88">
              <w:rPr>
                <w:lang w:val="it-IT"/>
              </w:rPr>
              <w:br/>
              <w:t>Scopo</w:t>
            </w:r>
            <w:r w:rsidRPr="00554A88">
              <w:rPr>
                <w:b/>
                <w:lang w:val="it-IT"/>
              </w:rPr>
              <w:t>:</w:t>
            </w:r>
            <w:r w:rsidRPr="00554A88">
              <w:rPr>
                <w:lang w:val="it-IT"/>
              </w:rPr>
              <w:t xml:space="preserve"> discuti l’impatto del linguaggio non inclusivo e degli stereotipi nell’educazione all’informatica, nelle risorse e nelle valutazioni, inclusa la promozione di modelli di riferimento differenti.</w:t>
            </w:r>
          </w:p>
          <w:p w14:paraId="6847C6DB" w14:textId="77777777" w:rsidR="008377AB" w:rsidRPr="00554A88" w:rsidRDefault="008377AB">
            <w:pPr>
              <w:spacing w:line="259" w:lineRule="auto"/>
              <w:cnfStyle w:val="000000100000" w:firstRow="0" w:lastRow="0" w:firstColumn="0" w:lastColumn="0" w:oddVBand="0" w:evenVBand="0" w:oddHBand="1" w:evenHBand="0" w:firstRowFirstColumn="0" w:firstRowLastColumn="0" w:lastRowFirstColumn="0" w:lastRowLastColumn="0"/>
              <w:rPr>
                <w:lang w:val="it-IT"/>
              </w:rPr>
            </w:pPr>
          </w:p>
          <w:p w14:paraId="24A4A8D6" w14:textId="77777777" w:rsidR="008377AB" w:rsidRPr="00554A88" w:rsidRDefault="00000000">
            <w:pPr>
              <w:spacing w:after="200"/>
              <w:cnfStyle w:val="000000100000" w:firstRow="0" w:lastRow="0" w:firstColumn="0" w:lastColumn="0" w:oddVBand="0" w:evenVBand="0" w:oddHBand="1" w:evenHBand="0" w:firstRowFirstColumn="0" w:firstRowLastColumn="0" w:lastRowFirstColumn="0" w:lastRowLastColumn="0"/>
              <w:rPr>
                <w:lang w:val="it-IT"/>
              </w:rPr>
            </w:pPr>
            <w:r w:rsidRPr="00554A88">
              <w:rPr>
                <w:b/>
                <w:lang w:val="it-IT"/>
              </w:rPr>
              <w:t>Attività 2: linguaggio inclusivo di genere nelle lezioni di informatica</w:t>
            </w:r>
          </w:p>
          <w:p w14:paraId="5BEDD516" w14:textId="77777777" w:rsidR="008377AB" w:rsidRDefault="00000000">
            <w:pPr>
              <w:numPr>
                <w:ilvl w:val="0"/>
                <w:numId w:val="7"/>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pPr>
            <w:r w:rsidRPr="00554A88">
              <w:rPr>
                <w:lang w:val="it-IT"/>
              </w:rPr>
              <w:t xml:space="preserve">Revisione dello scenario: fornisci alle e ai partecipanti brevi dialoghi di classe, istruzioni delle lezioni o esempi di </w:t>
            </w:r>
            <w:r w:rsidRPr="00554A88">
              <w:rPr>
                <w:i/>
                <w:lang w:val="it-IT"/>
              </w:rPr>
              <w:t xml:space="preserve">feedback </w:t>
            </w:r>
            <w:r w:rsidRPr="00554A88">
              <w:rPr>
                <w:lang w:val="it-IT"/>
              </w:rPr>
              <w:t xml:space="preserve">che includano linguaggio non inclusivo. </w:t>
            </w:r>
            <w:proofErr w:type="spellStart"/>
            <w:r>
              <w:t>Dovranno</w:t>
            </w:r>
            <w:proofErr w:type="spellEnd"/>
            <w:r>
              <w:t xml:space="preserve"> </w:t>
            </w:r>
            <w:proofErr w:type="spellStart"/>
            <w:r>
              <w:t>riscriverli</w:t>
            </w:r>
            <w:proofErr w:type="spellEnd"/>
            <w:r>
              <w:t xml:space="preserve"> </w:t>
            </w:r>
            <w:proofErr w:type="spellStart"/>
            <w:r>
              <w:t>utilizzando</w:t>
            </w:r>
            <w:proofErr w:type="spellEnd"/>
            <w:r>
              <w:t xml:space="preserve"> termini </w:t>
            </w:r>
            <w:proofErr w:type="spellStart"/>
            <w:r>
              <w:t>inclusivi</w:t>
            </w:r>
            <w:proofErr w:type="spellEnd"/>
            <w:r>
              <w:t xml:space="preserve"> e </w:t>
            </w:r>
            <w:proofErr w:type="spellStart"/>
            <w:r>
              <w:t>rappresentazioni</w:t>
            </w:r>
            <w:proofErr w:type="spellEnd"/>
            <w:r>
              <w:t xml:space="preserve"> equilibrate.</w:t>
            </w:r>
          </w:p>
          <w:p w14:paraId="4E148170" w14:textId="77777777" w:rsidR="008377AB" w:rsidRPr="00554A88" w:rsidRDefault="00000000">
            <w:pPr>
              <w:numPr>
                <w:ilvl w:val="0"/>
                <w:numId w:val="7"/>
              </w:numPr>
              <w:pBdr>
                <w:top w:val="nil"/>
                <w:left w:val="nil"/>
                <w:bottom w:val="nil"/>
                <w:right w:val="nil"/>
                <w:between w:val="nil"/>
              </w:pBd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 xml:space="preserve">Riflessione: i gruppi condividono i testi riscritti e riflettono su come lievi modifiche al linguaggio possano fare la differenza nell’inclusività della classe. </w:t>
            </w:r>
          </w:p>
          <w:p w14:paraId="03B6745E" w14:textId="77777777" w:rsidR="008377AB" w:rsidRPr="00554A88" w:rsidRDefault="00000000">
            <w:pPr>
              <w:spacing w:after="20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b/>
                <w:lang w:val="it-IT"/>
              </w:rPr>
              <w:t>Risultato:</w:t>
            </w:r>
            <w:r w:rsidRPr="00554A88">
              <w:rPr>
                <w:lang w:val="it-IT"/>
              </w:rPr>
              <w:t xml:space="preserve"> le e i partecipanti sviluppano una comprensione più approfondita del linguaggio inclusivo ed esaminano in maniera critica le risorse e le valutazioni didattiche.</w:t>
            </w:r>
          </w:p>
        </w:tc>
      </w:tr>
      <w:tr w:rsidR="008377AB" w:rsidRPr="00554A88" w14:paraId="0A831CE6" w14:textId="77777777" w:rsidTr="008377AB">
        <w:trPr>
          <w:trHeight w:val="417"/>
        </w:trPr>
        <w:tc>
          <w:tcPr>
            <w:cnfStyle w:val="001000000000" w:firstRow="0" w:lastRow="0" w:firstColumn="1" w:lastColumn="0" w:oddVBand="0" w:evenVBand="0" w:oddHBand="0" w:evenHBand="0" w:firstRowFirstColumn="0" w:firstRowLastColumn="0" w:lastRowFirstColumn="0" w:lastRowLastColumn="0"/>
            <w:tcW w:w="2115" w:type="dxa"/>
            <w:vMerge/>
          </w:tcPr>
          <w:p w14:paraId="1602B72A" w14:textId="77777777" w:rsidR="008377AB" w:rsidRPr="00554A88" w:rsidRDefault="008377AB">
            <w:pPr>
              <w:widowControl w:val="0"/>
              <w:pBdr>
                <w:top w:val="nil"/>
                <w:left w:val="nil"/>
                <w:bottom w:val="nil"/>
                <w:right w:val="nil"/>
                <w:between w:val="nil"/>
              </w:pBdr>
              <w:spacing w:line="276" w:lineRule="auto"/>
              <w:rPr>
                <w:lang w:val="it-IT"/>
              </w:rPr>
            </w:pPr>
          </w:p>
        </w:tc>
        <w:tc>
          <w:tcPr>
            <w:tcW w:w="6969" w:type="dxa"/>
          </w:tcPr>
          <w:p w14:paraId="01398307" w14:textId="77777777" w:rsidR="008377AB" w:rsidRPr="00554A88" w:rsidRDefault="00000000">
            <w:pPr>
              <w:pStyle w:val="Titolo3"/>
              <w:numPr>
                <w:ilvl w:val="0"/>
                <w:numId w:val="12"/>
              </w:numPr>
              <w:pBdr>
                <w:top w:val="nil"/>
                <w:left w:val="nil"/>
                <w:bottom w:val="nil"/>
                <w:right w:val="nil"/>
                <w:between w:val="nil"/>
              </w:pBdr>
              <w:spacing w:before="280" w:after="80"/>
              <w:outlineLvl w:val="2"/>
              <w:cnfStyle w:val="000000000000" w:firstRow="0" w:lastRow="0" w:firstColumn="0" w:lastColumn="0" w:oddVBand="0" w:evenVBand="0" w:oddHBand="0" w:evenHBand="0" w:firstRowFirstColumn="0" w:firstRowLastColumn="0" w:lastRowFirstColumn="0" w:lastRowLastColumn="0"/>
              <w:rPr>
                <w:i w:val="0"/>
                <w:lang w:val="it-IT"/>
              </w:rPr>
            </w:pPr>
            <w:bookmarkStart w:id="8" w:name="_heading=h.dn3ax36zegt7" w:colFirst="0" w:colLast="0"/>
            <w:bookmarkEnd w:id="8"/>
            <w:r w:rsidRPr="00554A88">
              <w:rPr>
                <w:i w:val="0"/>
                <w:u w:val="single"/>
                <w:lang w:val="it-IT"/>
              </w:rPr>
              <w:t>Normalizzare gli insuccessi e incoraggiare la perseveranza (5 minuti)</w:t>
            </w:r>
          </w:p>
          <w:p w14:paraId="166462EF" w14:textId="77777777" w:rsidR="008377AB" w:rsidRPr="00554A88" w:rsidRDefault="00000000">
            <w:pPr>
              <w:widowControl w:val="0"/>
              <w:spacing w:line="216" w:lineRule="auto"/>
              <w:cnfStyle w:val="000000000000" w:firstRow="0" w:lastRow="0" w:firstColumn="0" w:lastColumn="0" w:oddVBand="0" w:evenVBand="0" w:oddHBand="0" w:evenHBand="0" w:firstRowFirstColumn="0" w:firstRowLastColumn="0" w:lastRowFirstColumn="0" w:lastRowLastColumn="0"/>
              <w:rPr>
                <w:color w:val="000000"/>
                <w:lang w:val="it-IT"/>
              </w:rPr>
            </w:pPr>
            <w:r w:rsidRPr="00554A88">
              <w:rPr>
                <w:b/>
                <w:color w:val="000000"/>
                <w:lang w:val="it-IT"/>
              </w:rPr>
              <w:br/>
            </w:r>
            <w:r w:rsidRPr="00554A88">
              <w:rPr>
                <w:color w:val="000000"/>
                <w:lang w:val="it-IT"/>
              </w:rPr>
              <w:lastRenderedPageBreak/>
              <w:t>Diapositiva 15</w:t>
            </w:r>
            <w:r w:rsidRPr="00554A88">
              <w:rPr>
                <w:color w:val="000000"/>
                <w:lang w:val="it-IT"/>
              </w:rPr>
              <w:br/>
              <w:t>Scopo</w:t>
            </w:r>
            <w:r w:rsidRPr="00554A88">
              <w:rPr>
                <w:b/>
                <w:color w:val="000000"/>
                <w:lang w:val="it-IT"/>
              </w:rPr>
              <w:t xml:space="preserve">: </w:t>
            </w:r>
            <w:r w:rsidRPr="00554A88">
              <w:rPr>
                <w:color w:val="000000"/>
                <w:lang w:val="it-IT"/>
              </w:rPr>
              <w:t xml:space="preserve">enfatizza l’importanza di normalizzare gli insuccessi e di incoraggiare la perseveranza. Il fallimento è una componente naturale e necessaria dell’apprendimento delle materie informatiche, tuttavia spesso le ragazze interiorizzano l’idea secondo cui gli errori siano una mancanza di abilità, il che può scoraggiarle dal perseguire questo ambito. Incoraggia le e i docenti a normalizzare i tentativi e gli errori, sottolineando che competenze come il debugging e il </w:t>
            </w:r>
            <w:proofErr w:type="spellStart"/>
            <w:r w:rsidRPr="00554A88">
              <w:rPr>
                <w:i/>
                <w:color w:val="000000"/>
                <w:lang w:val="it-IT"/>
              </w:rPr>
              <w:t>problem</w:t>
            </w:r>
            <w:proofErr w:type="spellEnd"/>
            <w:r w:rsidRPr="00554A88">
              <w:rPr>
                <w:i/>
                <w:color w:val="000000"/>
                <w:lang w:val="it-IT"/>
              </w:rPr>
              <w:t xml:space="preserve"> solving</w:t>
            </w:r>
            <w:r w:rsidRPr="00554A88">
              <w:rPr>
                <w:color w:val="000000"/>
                <w:lang w:val="it-IT"/>
              </w:rPr>
              <w:t xml:space="preserve"> sono essenziali, e a promuovere la perseveranza. Ciò contribuisce a una maggiore fiducia e supporta un ambiente di classe più inclusivo e orientato alla crescita.</w:t>
            </w:r>
          </w:p>
          <w:p w14:paraId="243437EE" w14:textId="77777777" w:rsidR="008377AB" w:rsidRPr="00554A88" w:rsidRDefault="008377AB">
            <w:pPr>
              <w:widowControl w:val="0"/>
              <w:spacing w:line="216" w:lineRule="auto"/>
              <w:cnfStyle w:val="000000000000" w:firstRow="0" w:lastRow="0" w:firstColumn="0" w:lastColumn="0" w:oddVBand="0" w:evenVBand="0" w:oddHBand="0" w:evenHBand="0" w:firstRowFirstColumn="0" w:firstRowLastColumn="0" w:lastRowFirstColumn="0" w:lastRowLastColumn="0"/>
              <w:rPr>
                <w:color w:val="000000"/>
                <w:lang w:val="it-IT"/>
              </w:rPr>
            </w:pPr>
          </w:p>
          <w:p w14:paraId="025260EC" w14:textId="77777777" w:rsidR="008377AB" w:rsidRDefault="00000000">
            <w:pPr>
              <w:widowControl w:val="0"/>
              <w:spacing w:line="216" w:lineRule="auto"/>
              <w:cnfStyle w:val="000000000000" w:firstRow="0" w:lastRow="0" w:firstColumn="0" w:lastColumn="0" w:oddVBand="0" w:evenVBand="0" w:oddHBand="0" w:evenHBand="0" w:firstRowFirstColumn="0" w:firstRowLastColumn="0" w:lastRowFirstColumn="0" w:lastRowLastColumn="0"/>
              <w:rPr>
                <w:color w:val="000000"/>
              </w:rPr>
            </w:pPr>
            <w:proofErr w:type="spellStart"/>
            <w:r>
              <w:rPr>
                <w:color w:val="000000"/>
              </w:rPr>
              <w:t>Punti</w:t>
            </w:r>
            <w:proofErr w:type="spellEnd"/>
            <w:r>
              <w:rPr>
                <w:color w:val="000000"/>
              </w:rPr>
              <w:t xml:space="preserve"> </w:t>
            </w:r>
            <w:proofErr w:type="spellStart"/>
            <w:r>
              <w:rPr>
                <w:color w:val="000000"/>
              </w:rPr>
              <w:t>chiave</w:t>
            </w:r>
            <w:proofErr w:type="spellEnd"/>
            <w:r>
              <w:rPr>
                <w:color w:val="000000"/>
              </w:rPr>
              <w:t xml:space="preserve"> </w:t>
            </w:r>
            <w:proofErr w:type="spellStart"/>
            <w:r>
              <w:rPr>
                <w:color w:val="000000"/>
              </w:rPr>
              <w:t>della</w:t>
            </w:r>
            <w:proofErr w:type="spellEnd"/>
            <w:r>
              <w:rPr>
                <w:color w:val="000000"/>
              </w:rPr>
              <w:t xml:space="preserve"> </w:t>
            </w:r>
            <w:proofErr w:type="spellStart"/>
            <w:r>
              <w:rPr>
                <w:color w:val="000000"/>
              </w:rPr>
              <w:t>discussione</w:t>
            </w:r>
            <w:proofErr w:type="spellEnd"/>
            <w:r>
              <w:rPr>
                <w:color w:val="000000"/>
              </w:rPr>
              <w:t>:</w:t>
            </w:r>
          </w:p>
          <w:p w14:paraId="2D5CE316" w14:textId="77777777" w:rsidR="008377AB" w:rsidRPr="00554A88" w:rsidRDefault="00000000">
            <w:pPr>
              <w:widowControl w:val="0"/>
              <w:numPr>
                <w:ilvl w:val="0"/>
                <w:numId w:val="4"/>
              </w:numPr>
              <w:spacing w:before="240" w:line="276" w:lineRule="auto"/>
              <w:cnfStyle w:val="000000000000" w:firstRow="0" w:lastRow="0" w:firstColumn="0" w:lastColumn="0" w:oddVBand="0" w:evenVBand="0" w:oddHBand="0" w:evenHBand="0" w:firstRowFirstColumn="0" w:firstRowLastColumn="0" w:lastRowFirstColumn="0" w:lastRowLastColumn="0"/>
              <w:rPr>
                <w:color w:val="000000"/>
                <w:lang w:val="it-IT"/>
              </w:rPr>
            </w:pPr>
            <w:r w:rsidRPr="00554A88">
              <w:rPr>
                <w:color w:val="000000"/>
                <w:lang w:val="it-IT"/>
              </w:rPr>
              <w:t>Le ragazze e le minoranze di genere spesso segnalano una minore fiducia negli ambiti dell’informatica e delle STEM, il che può portare a ritenere che compiuto errori significhi “non essere portate e portati”: una mentalità dannosa e che si autoavvera. Al contrario, i ragazzi tendono ad attribuire gli insuccessi a sforzi o preparazione insufficienti, anziché all’abilità.</w:t>
            </w:r>
          </w:p>
          <w:p w14:paraId="5F809EAB" w14:textId="77777777" w:rsidR="008377AB" w:rsidRPr="00554A88" w:rsidRDefault="00000000">
            <w:pPr>
              <w:widowControl w:val="0"/>
              <w:numPr>
                <w:ilvl w:val="0"/>
                <w:numId w:val="4"/>
              </w:numPr>
              <w:spacing w:line="276" w:lineRule="auto"/>
              <w:cnfStyle w:val="000000000000" w:firstRow="0" w:lastRow="0" w:firstColumn="0" w:lastColumn="0" w:oddVBand="0" w:evenVBand="0" w:oddHBand="0" w:evenHBand="0" w:firstRowFirstColumn="0" w:firstRowLastColumn="0" w:lastRowFirstColumn="0" w:lastRowLastColumn="0"/>
              <w:rPr>
                <w:color w:val="000000"/>
                <w:lang w:val="it-IT"/>
              </w:rPr>
            </w:pPr>
            <w:r w:rsidRPr="00554A88">
              <w:rPr>
                <w:color w:val="000000"/>
                <w:lang w:val="it-IT"/>
              </w:rPr>
              <w:t xml:space="preserve">Gli errori non rappresentano una battuta d’arresto, ma sono una parte naturale ed essenziale dell’apprendimento dell’informatica. Enfatizza la validità </w:t>
            </w:r>
            <w:r w:rsidRPr="00554A88">
              <w:rPr>
                <w:i/>
                <w:color w:val="000000"/>
                <w:lang w:val="it-IT"/>
              </w:rPr>
              <w:t xml:space="preserve">dei tentativi e degli errori (Trial and </w:t>
            </w:r>
            <w:proofErr w:type="spellStart"/>
            <w:r w:rsidRPr="00554A88">
              <w:rPr>
                <w:i/>
                <w:color w:val="000000"/>
                <w:lang w:val="it-IT"/>
              </w:rPr>
              <w:t>error</w:t>
            </w:r>
            <w:proofErr w:type="spellEnd"/>
            <w:r w:rsidRPr="00554A88">
              <w:rPr>
                <w:i/>
                <w:color w:val="000000"/>
                <w:lang w:val="it-IT"/>
              </w:rPr>
              <w:t>)</w:t>
            </w:r>
            <w:r w:rsidRPr="00554A88">
              <w:rPr>
                <w:color w:val="000000"/>
                <w:lang w:val="it-IT"/>
              </w:rPr>
              <w:t>, processi preziosi nella programmazione e nella progettazione di sistemi.</w:t>
            </w:r>
          </w:p>
          <w:p w14:paraId="6453ECE2" w14:textId="77777777" w:rsidR="008377AB" w:rsidRPr="00554A88" w:rsidRDefault="00000000">
            <w:pPr>
              <w:widowControl w:val="0"/>
              <w:numPr>
                <w:ilvl w:val="0"/>
                <w:numId w:val="4"/>
              </w:numPr>
              <w:spacing w:line="276" w:lineRule="auto"/>
              <w:cnfStyle w:val="000000000000" w:firstRow="0" w:lastRow="0" w:firstColumn="0" w:lastColumn="0" w:oddVBand="0" w:evenVBand="0" w:oddHBand="0" w:evenHBand="0" w:firstRowFirstColumn="0" w:firstRowLastColumn="0" w:lastRowFirstColumn="0" w:lastRowLastColumn="0"/>
              <w:rPr>
                <w:color w:val="000000"/>
                <w:lang w:val="it-IT"/>
              </w:rPr>
            </w:pPr>
            <w:r w:rsidRPr="00554A88">
              <w:rPr>
                <w:color w:val="000000"/>
                <w:lang w:val="it-IT"/>
              </w:rPr>
              <w:t>Le e i docenti possono contrastare questi atteggiamenti:</w:t>
            </w:r>
          </w:p>
          <w:p w14:paraId="02B38BB2" w14:textId="77777777" w:rsidR="008377AB" w:rsidRPr="00554A88" w:rsidRDefault="00000000">
            <w:pPr>
              <w:widowControl w:val="0"/>
              <w:numPr>
                <w:ilvl w:val="1"/>
                <w:numId w:val="4"/>
              </w:numPr>
              <w:spacing w:line="276" w:lineRule="auto"/>
              <w:cnfStyle w:val="000000000000" w:firstRow="0" w:lastRow="0" w:firstColumn="0" w:lastColumn="0" w:oddVBand="0" w:evenVBand="0" w:oddHBand="0" w:evenHBand="0" w:firstRowFirstColumn="0" w:firstRowLastColumn="0" w:lastRowFirstColumn="0" w:lastRowLastColumn="0"/>
              <w:rPr>
                <w:color w:val="000000"/>
                <w:lang w:val="it-IT"/>
              </w:rPr>
            </w:pPr>
            <w:r w:rsidRPr="00554A88">
              <w:rPr>
                <w:color w:val="000000"/>
                <w:lang w:val="it-IT"/>
              </w:rPr>
              <w:t>parlando apertamente dei propri fallimenti come passi essenziali verso l’apprendimento.</w:t>
            </w:r>
          </w:p>
          <w:p w14:paraId="3D02ED3A" w14:textId="77777777" w:rsidR="008377AB" w:rsidRPr="00554A88" w:rsidRDefault="00000000">
            <w:pPr>
              <w:widowControl w:val="0"/>
              <w:numPr>
                <w:ilvl w:val="1"/>
                <w:numId w:val="4"/>
              </w:numPr>
              <w:spacing w:line="276" w:lineRule="auto"/>
              <w:cnfStyle w:val="000000000000" w:firstRow="0" w:lastRow="0" w:firstColumn="0" w:lastColumn="0" w:oddVBand="0" w:evenVBand="0" w:oddHBand="0" w:evenHBand="0" w:firstRowFirstColumn="0" w:firstRowLastColumn="0" w:lastRowFirstColumn="0" w:lastRowLastColumn="0"/>
              <w:rPr>
                <w:color w:val="000000"/>
                <w:lang w:val="it-IT"/>
              </w:rPr>
            </w:pPr>
            <w:r w:rsidRPr="00554A88">
              <w:rPr>
                <w:color w:val="000000"/>
                <w:lang w:val="it-IT"/>
              </w:rPr>
              <w:t>promuovendo una mentalità di crescita: “si impara facendo e, a volte, anche sbagliando”.</w:t>
            </w:r>
          </w:p>
          <w:p w14:paraId="3453A171" w14:textId="77777777" w:rsidR="008377AB" w:rsidRPr="00554A88" w:rsidRDefault="00000000">
            <w:pPr>
              <w:widowControl w:val="0"/>
              <w:numPr>
                <w:ilvl w:val="1"/>
                <w:numId w:val="4"/>
              </w:numPr>
              <w:spacing w:line="276" w:lineRule="auto"/>
              <w:cnfStyle w:val="000000000000" w:firstRow="0" w:lastRow="0" w:firstColumn="0" w:lastColumn="0" w:oddVBand="0" w:evenVBand="0" w:oddHBand="0" w:evenHBand="0" w:firstRowFirstColumn="0" w:firstRowLastColumn="0" w:lastRowFirstColumn="0" w:lastRowLastColumn="0"/>
              <w:rPr>
                <w:color w:val="000000"/>
                <w:lang w:val="it-IT"/>
              </w:rPr>
            </w:pPr>
            <w:r w:rsidRPr="00554A88">
              <w:rPr>
                <w:color w:val="000000"/>
                <w:lang w:val="it-IT"/>
              </w:rPr>
              <w:t>Incoraggiare la perseveranza e non soltanto le risposte corrette.</w:t>
            </w:r>
          </w:p>
          <w:p w14:paraId="07652E97" w14:textId="77777777" w:rsidR="008377AB" w:rsidRPr="00554A88" w:rsidRDefault="00000000">
            <w:pPr>
              <w:widowControl w:val="0"/>
              <w:numPr>
                <w:ilvl w:val="1"/>
                <w:numId w:val="4"/>
              </w:numPr>
              <w:spacing w:line="276" w:lineRule="auto"/>
              <w:cnfStyle w:val="000000000000" w:firstRow="0" w:lastRow="0" w:firstColumn="0" w:lastColumn="0" w:oddVBand="0" w:evenVBand="0" w:oddHBand="0" w:evenHBand="0" w:firstRowFirstColumn="0" w:firstRowLastColumn="0" w:lastRowFirstColumn="0" w:lastRowLastColumn="0"/>
              <w:rPr>
                <w:color w:val="000000"/>
                <w:lang w:val="it-IT"/>
              </w:rPr>
            </w:pPr>
            <w:r w:rsidRPr="00554A88">
              <w:rPr>
                <w:color w:val="000000"/>
                <w:lang w:val="it-IT"/>
              </w:rPr>
              <w:t xml:space="preserve">Sottolineare che il </w:t>
            </w:r>
            <w:r w:rsidRPr="00554A88">
              <w:rPr>
                <w:i/>
                <w:color w:val="000000"/>
                <w:lang w:val="it-IT"/>
              </w:rPr>
              <w:t>debugging</w:t>
            </w:r>
            <w:r w:rsidRPr="00554A88">
              <w:rPr>
                <w:color w:val="000000"/>
                <w:lang w:val="it-IT"/>
              </w:rPr>
              <w:t xml:space="preserve">, la revisione e il </w:t>
            </w:r>
            <w:proofErr w:type="spellStart"/>
            <w:r w:rsidRPr="00554A88">
              <w:rPr>
                <w:i/>
                <w:color w:val="000000"/>
                <w:lang w:val="it-IT"/>
              </w:rPr>
              <w:t>problem</w:t>
            </w:r>
            <w:proofErr w:type="spellEnd"/>
            <w:r w:rsidRPr="00554A88">
              <w:rPr>
                <w:i/>
                <w:color w:val="000000"/>
                <w:lang w:val="it-IT"/>
              </w:rPr>
              <w:t xml:space="preserve"> solving</w:t>
            </w:r>
            <w:r w:rsidRPr="00554A88">
              <w:rPr>
                <w:color w:val="000000"/>
                <w:lang w:val="it-IT"/>
              </w:rPr>
              <w:t xml:space="preserve"> sono componenti essenziali del lavoro.</w:t>
            </w:r>
          </w:p>
          <w:p w14:paraId="4FB915B8" w14:textId="77777777" w:rsidR="008377AB" w:rsidRPr="00554A88" w:rsidRDefault="00000000">
            <w:pPr>
              <w:widowControl w:val="0"/>
              <w:numPr>
                <w:ilvl w:val="1"/>
                <w:numId w:val="4"/>
              </w:numPr>
              <w:spacing w:after="240" w:line="276" w:lineRule="auto"/>
              <w:cnfStyle w:val="000000000000" w:firstRow="0" w:lastRow="0" w:firstColumn="0" w:lastColumn="0" w:oddVBand="0" w:evenVBand="0" w:oddHBand="0" w:evenHBand="0" w:firstRowFirstColumn="0" w:firstRowLastColumn="0" w:lastRowFirstColumn="0" w:lastRowLastColumn="0"/>
              <w:rPr>
                <w:color w:val="000000"/>
                <w:lang w:val="it-IT"/>
              </w:rPr>
            </w:pPr>
            <w:r w:rsidRPr="00554A88">
              <w:rPr>
                <w:color w:val="000000"/>
                <w:lang w:val="it-IT"/>
              </w:rPr>
              <w:t>Assistere tutte le e tutti gli studenti, soprattutto le ragazze e le minoranze di genere, nel ridimensionamento dell’errore a opportunità di crescita.</w:t>
            </w:r>
          </w:p>
        </w:tc>
      </w:tr>
      <w:tr w:rsidR="008377AB" w:rsidRPr="00554A88" w14:paraId="62834071" w14:textId="77777777" w:rsidTr="008377AB">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15" w:type="dxa"/>
            <w:vMerge/>
          </w:tcPr>
          <w:p w14:paraId="62F849FE" w14:textId="77777777" w:rsidR="008377AB" w:rsidRPr="00554A88" w:rsidRDefault="008377AB">
            <w:pPr>
              <w:widowControl w:val="0"/>
              <w:pBdr>
                <w:top w:val="nil"/>
                <w:left w:val="nil"/>
                <w:bottom w:val="nil"/>
                <w:right w:val="nil"/>
                <w:between w:val="nil"/>
              </w:pBdr>
              <w:spacing w:line="276" w:lineRule="auto"/>
              <w:rPr>
                <w:color w:val="000000"/>
                <w:lang w:val="it-IT"/>
              </w:rPr>
            </w:pPr>
          </w:p>
        </w:tc>
        <w:tc>
          <w:tcPr>
            <w:tcW w:w="6969" w:type="dxa"/>
          </w:tcPr>
          <w:p w14:paraId="6A3B7614" w14:textId="77777777" w:rsidR="008377AB" w:rsidRPr="00554A88" w:rsidRDefault="00000000">
            <w:pPr>
              <w:pStyle w:val="Titolo3"/>
              <w:numPr>
                <w:ilvl w:val="0"/>
                <w:numId w:val="12"/>
              </w:numPr>
              <w:pBdr>
                <w:top w:val="nil"/>
                <w:left w:val="nil"/>
                <w:bottom w:val="nil"/>
                <w:right w:val="nil"/>
                <w:between w:val="nil"/>
              </w:pBdr>
              <w:spacing w:before="280" w:after="80"/>
              <w:outlineLvl w:val="2"/>
              <w:cnfStyle w:val="000000100000" w:firstRow="0" w:lastRow="0" w:firstColumn="0" w:lastColumn="0" w:oddVBand="0" w:evenVBand="0" w:oddHBand="1" w:evenHBand="0" w:firstRowFirstColumn="0" w:firstRowLastColumn="0" w:lastRowFirstColumn="0" w:lastRowLastColumn="0"/>
              <w:rPr>
                <w:i w:val="0"/>
                <w:lang w:val="it-IT"/>
              </w:rPr>
            </w:pPr>
            <w:bookmarkStart w:id="9" w:name="_heading=h.t666rkt0531b" w:colFirst="0" w:colLast="0"/>
            <w:bookmarkEnd w:id="9"/>
            <w:r w:rsidRPr="00554A88">
              <w:rPr>
                <w:i w:val="0"/>
                <w:u w:val="single"/>
                <w:lang w:val="it-IT"/>
              </w:rPr>
              <w:t>Fuori dalla classe: incoraggiare la partecipazione all’informatica (5 minuti)</w:t>
            </w:r>
          </w:p>
          <w:p w14:paraId="062DD12F" w14:textId="77777777" w:rsidR="008377AB" w:rsidRPr="00554A88" w:rsidRDefault="00000000">
            <w:pPr>
              <w:widowControl w:val="0"/>
              <w:spacing w:before="240" w:after="240" w:line="276" w:lineRule="auto"/>
              <w:cnfStyle w:val="000000100000" w:firstRow="0" w:lastRow="0" w:firstColumn="0" w:lastColumn="0" w:oddVBand="0" w:evenVBand="0" w:oddHBand="1" w:evenHBand="0" w:firstRowFirstColumn="0" w:firstRowLastColumn="0" w:lastRowFirstColumn="0" w:lastRowLastColumn="0"/>
              <w:rPr>
                <w:color w:val="000000"/>
                <w:lang w:val="it-IT"/>
              </w:rPr>
            </w:pPr>
            <w:r w:rsidRPr="00554A88">
              <w:rPr>
                <w:color w:val="000000"/>
                <w:lang w:val="it-IT"/>
              </w:rPr>
              <w:t>Diapositiva 16</w:t>
            </w:r>
            <w:r w:rsidRPr="00554A88">
              <w:rPr>
                <w:color w:val="000000"/>
                <w:lang w:val="it-IT"/>
              </w:rPr>
              <w:br/>
              <w:t>Scopo</w:t>
            </w:r>
            <w:r w:rsidRPr="00554A88">
              <w:rPr>
                <w:b/>
                <w:color w:val="000000"/>
                <w:lang w:val="it-IT"/>
              </w:rPr>
              <w:t>:</w:t>
            </w:r>
            <w:r w:rsidRPr="00554A88">
              <w:rPr>
                <w:color w:val="000000"/>
                <w:lang w:val="it-IT"/>
              </w:rPr>
              <w:t xml:space="preserve"> enfatizza l’importanza di incoraggiare la partecipazione all’informatica al di fuori della classe. </w:t>
            </w:r>
          </w:p>
          <w:p w14:paraId="26BEAB7A" w14:textId="77777777" w:rsidR="008377AB" w:rsidRPr="00554A88" w:rsidRDefault="00000000">
            <w:pPr>
              <w:widowControl w:val="0"/>
              <w:numPr>
                <w:ilvl w:val="0"/>
                <w:numId w:val="15"/>
              </w:numPr>
              <w:spacing w:before="24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lang w:val="it-IT"/>
              </w:rPr>
            </w:pPr>
            <w:r w:rsidRPr="00554A88">
              <w:rPr>
                <w:color w:val="000000"/>
                <w:lang w:val="it-IT"/>
              </w:rPr>
              <w:t xml:space="preserve">Estendere l’apprendimento oltre il contesto della classe permette alle e agli studenti di intuire il valore reale dell’informatica. Incoraggiando la partecipazione a club, campi o competizioni di </w:t>
            </w:r>
            <w:r w:rsidRPr="00554A88">
              <w:rPr>
                <w:color w:val="000000"/>
                <w:lang w:val="it-IT"/>
              </w:rPr>
              <w:lastRenderedPageBreak/>
              <w:t xml:space="preserve">coding (soprattutto quelli destinati alle ragazze e alle minoranze di genere) consente di costruire fiducia e stimolare l’interesse. </w:t>
            </w:r>
          </w:p>
          <w:p w14:paraId="7BC53205" w14:textId="77777777" w:rsidR="008377AB" w:rsidRPr="00554A88" w:rsidRDefault="00000000">
            <w:pPr>
              <w:widowControl w:val="0"/>
              <w:numPr>
                <w:ilvl w:val="0"/>
                <w:numId w:val="15"/>
              </w:numPr>
              <w:spacing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lang w:val="it-IT"/>
              </w:rPr>
            </w:pPr>
            <w:r w:rsidRPr="00554A88">
              <w:rPr>
                <w:color w:val="000000"/>
                <w:lang w:val="it-IT"/>
              </w:rPr>
              <w:t>L’esposizione precoce al coding o ai giochi che prevedono la risoluzione di problemi può gettare le basi per una partecipazione all’informatica futura. Le e i docenti possono, inoltre, stimolare l’interesse della classe collegando l’informatica ai problemi reali, ad esempio mediante l’uso dell’IA in ambito sanitario o delle scienze ambientali. Questi esempi mostrano alle e agli studenti, specialmente alle bambine, ragazze e alle minoranze di genere, in che modo la tecnologia può fare la differenza negli ambiti di loro interesse.</w:t>
            </w:r>
          </w:p>
          <w:p w14:paraId="571CEDB0" w14:textId="77777777" w:rsidR="008377AB" w:rsidRPr="00554A88" w:rsidRDefault="00000000">
            <w:pPr>
              <w:widowControl w:val="0"/>
              <w:numPr>
                <w:ilvl w:val="0"/>
                <w:numId w:val="15"/>
              </w:numPr>
              <w:spacing w:after="240" w:line="276" w:lineRule="auto"/>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lang w:val="it-IT"/>
              </w:rPr>
            </w:pPr>
            <w:r w:rsidRPr="00554A88">
              <w:rPr>
                <w:color w:val="000000"/>
                <w:lang w:val="it-IT"/>
              </w:rPr>
              <w:t>Fornire esempi di modelli di riferimento variegati—ospiti oratrici o oratori, ex studenti o professioniste e professionisti—perché condividano la loro esperienza consente alle e agli studenti di visualizzare percorsi futuri in ambito tecnologico e di percepire un senso di appartenenza a tale campo.</w:t>
            </w:r>
          </w:p>
          <w:p w14:paraId="0BD76D28" w14:textId="77777777" w:rsidR="008377AB" w:rsidRPr="00554A88" w:rsidRDefault="00000000">
            <w:pPr>
              <w:spacing w:after="200"/>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 xml:space="preserve">Tra gli esempi positivi, figurano la gestione di programmi attraverso </w:t>
            </w:r>
            <w:hyperlink r:id="rId27">
              <w:r w:rsidRPr="00554A88">
                <w:rPr>
                  <w:color w:val="1155CC"/>
                  <w:u w:val="single"/>
                  <w:lang w:val="it-IT"/>
                </w:rPr>
                <w:t xml:space="preserve">Girls </w:t>
              </w:r>
              <w:proofErr w:type="spellStart"/>
              <w:r w:rsidRPr="00554A88">
                <w:rPr>
                  <w:color w:val="1155CC"/>
                  <w:u w:val="single"/>
                  <w:lang w:val="it-IT"/>
                </w:rPr>
                <w:t>who</w:t>
              </w:r>
              <w:proofErr w:type="spellEnd"/>
              <w:r w:rsidRPr="00554A88">
                <w:rPr>
                  <w:color w:val="1155CC"/>
                  <w:u w:val="single"/>
                  <w:lang w:val="it-IT"/>
                </w:rPr>
                <w:t xml:space="preserve"> Code</w:t>
              </w:r>
            </w:hyperlink>
            <w:r w:rsidRPr="00554A88">
              <w:rPr>
                <w:lang w:val="it-IT"/>
              </w:rPr>
              <w:t xml:space="preserve"> o l’incoraggiamento alla partecipazione a programmi quali </w:t>
            </w:r>
            <w:hyperlink r:id="rId28">
              <w:r w:rsidRPr="00554A88">
                <w:rPr>
                  <w:color w:val="1155CC"/>
                  <w:u w:val="single"/>
                  <w:lang w:val="it-IT"/>
                </w:rPr>
                <w:t xml:space="preserve">Girls’ IT </w:t>
              </w:r>
              <w:proofErr w:type="spellStart"/>
              <w:r w:rsidRPr="00554A88">
                <w:rPr>
                  <w:color w:val="1155CC"/>
                  <w:u w:val="single"/>
                  <w:lang w:val="it-IT"/>
                </w:rPr>
                <w:t>Bootcamp</w:t>
              </w:r>
              <w:proofErr w:type="spellEnd"/>
            </w:hyperlink>
            <w:r w:rsidRPr="00554A88">
              <w:rPr>
                <w:lang w:val="it-IT"/>
              </w:rPr>
              <w:t>.</w:t>
            </w:r>
            <w:r w:rsidRPr="00554A88">
              <w:rPr>
                <w:lang w:val="it-IT"/>
              </w:rPr>
              <w:br/>
            </w:r>
          </w:p>
        </w:tc>
      </w:tr>
      <w:tr w:rsidR="008377AB" w:rsidRPr="00554A88" w14:paraId="0D95119D" w14:textId="77777777" w:rsidTr="008377AB">
        <w:trPr>
          <w:trHeight w:val="417"/>
        </w:trPr>
        <w:tc>
          <w:tcPr>
            <w:cnfStyle w:val="001000000000" w:firstRow="0" w:lastRow="0" w:firstColumn="1" w:lastColumn="0" w:oddVBand="0" w:evenVBand="0" w:oddHBand="0" w:evenHBand="0" w:firstRowFirstColumn="0" w:firstRowLastColumn="0" w:lastRowFirstColumn="0" w:lastRowLastColumn="0"/>
            <w:tcW w:w="2115" w:type="dxa"/>
            <w:vMerge/>
          </w:tcPr>
          <w:p w14:paraId="604C0FA2" w14:textId="77777777" w:rsidR="008377AB" w:rsidRPr="00554A88" w:rsidRDefault="008377AB">
            <w:pPr>
              <w:widowControl w:val="0"/>
              <w:pBdr>
                <w:top w:val="nil"/>
                <w:left w:val="nil"/>
                <w:bottom w:val="nil"/>
                <w:right w:val="nil"/>
                <w:between w:val="nil"/>
              </w:pBdr>
              <w:spacing w:line="276" w:lineRule="auto"/>
              <w:rPr>
                <w:lang w:val="it-IT"/>
              </w:rPr>
            </w:pPr>
          </w:p>
        </w:tc>
        <w:tc>
          <w:tcPr>
            <w:tcW w:w="6969" w:type="dxa"/>
          </w:tcPr>
          <w:p w14:paraId="610098DC" w14:textId="77777777" w:rsidR="008377AB" w:rsidRPr="00554A88" w:rsidRDefault="00000000">
            <w:pPr>
              <w:pStyle w:val="Titolo3"/>
              <w:numPr>
                <w:ilvl w:val="0"/>
                <w:numId w:val="12"/>
              </w:numPr>
              <w:pBdr>
                <w:top w:val="nil"/>
                <w:left w:val="nil"/>
                <w:bottom w:val="nil"/>
                <w:right w:val="nil"/>
                <w:between w:val="nil"/>
              </w:pBdr>
              <w:spacing w:before="280" w:after="80"/>
              <w:outlineLvl w:val="2"/>
              <w:cnfStyle w:val="000000000000" w:firstRow="0" w:lastRow="0" w:firstColumn="0" w:lastColumn="0" w:oddVBand="0" w:evenVBand="0" w:oddHBand="0" w:evenHBand="0" w:firstRowFirstColumn="0" w:firstRowLastColumn="0" w:lastRowFirstColumn="0" w:lastRowLastColumn="0"/>
              <w:rPr>
                <w:i w:val="0"/>
                <w:lang w:val="it-IT"/>
              </w:rPr>
            </w:pPr>
            <w:bookmarkStart w:id="10" w:name="_heading=h.gwcxbbdg8dqh" w:colFirst="0" w:colLast="0"/>
            <w:bookmarkEnd w:id="10"/>
            <w:r w:rsidRPr="00554A88">
              <w:rPr>
                <w:i w:val="0"/>
                <w:u w:val="single"/>
                <w:lang w:val="it-IT"/>
              </w:rPr>
              <w:t xml:space="preserve">Strategie pedagogiche: apprendimento esperienziale, </w:t>
            </w:r>
            <w:proofErr w:type="spellStart"/>
            <w:r w:rsidRPr="00554A88">
              <w:rPr>
                <w:i w:val="0"/>
                <w:u w:val="single"/>
                <w:lang w:val="it-IT"/>
              </w:rPr>
              <w:t>tinkering</w:t>
            </w:r>
            <w:proofErr w:type="spellEnd"/>
            <w:r w:rsidRPr="00554A88">
              <w:rPr>
                <w:i w:val="0"/>
                <w:u w:val="single"/>
                <w:lang w:val="it-IT"/>
              </w:rPr>
              <w:t xml:space="preserve"> e approcci basati sul gioco (30 minuti)</w:t>
            </w:r>
          </w:p>
          <w:p w14:paraId="6EF5160C" w14:textId="77777777" w:rsidR="008377AB" w:rsidRPr="00554A88" w:rsidRDefault="00000000">
            <w:pPr>
              <w:spacing w:before="240" w:after="240"/>
              <w:cnfStyle w:val="000000000000" w:firstRow="0" w:lastRow="0" w:firstColumn="0" w:lastColumn="0" w:oddVBand="0" w:evenVBand="0" w:oddHBand="0" w:evenHBand="0" w:firstRowFirstColumn="0" w:firstRowLastColumn="0" w:lastRowFirstColumn="0" w:lastRowLastColumn="0"/>
              <w:rPr>
                <w:color w:val="000000"/>
                <w:lang w:val="it-IT"/>
              </w:rPr>
            </w:pPr>
            <w:r w:rsidRPr="00554A88">
              <w:rPr>
                <w:lang w:val="it-IT"/>
              </w:rPr>
              <w:t>Diapositiva 17</w:t>
            </w:r>
            <w:r w:rsidRPr="00554A88">
              <w:rPr>
                <w:lang w:val="it-IT"/>
              </w:rPr>
              <w:br/>
              <w:t>Scopo</w:t>
            </w:r>
            <w:r w:rsidRPr="00554A88">
              <w:rPr>
                <w:b/>
                <w:lang w:val="it-IT"/>
              </w:rPr>
              <w:t>:</w:t>
            </w:r>
            <w:r w:rsidRPr="00554A88">
              <w:rPr>
                <w:lang w:val="it-IT"/>
              </w:rPr>
              <w:t xml:space="preserve"> </w:t>
            </w:r>
            <w:r w:rsidRPr="00554A88">
              <w:rPr>
                <w:color w:val="000000"/>
                <w:lang w:val="it-IT"/>
              </w:rPr>
              <w:t>introduci le tre strategie di insegnamento, enfatizzando in che modo ciascuna di esse può promuovere l’inclusione di genere. Discuti con la classe gli elementi che le legano all’apprendimento autentico.</w:t>
            </w:r>
          </w:p>
          <w:p w14:paraId="4B5BBA4D" w14:textId="77777777" w:rsidR="008377AB" w:rsidRDefault="00000000">
            <w:pPr>
              <w:numPr>
                <w:ilvl w:val="0"/>
                <w:numId w:val="16"/>
              </w:numPr>
              <w:spacing w:before="240"/>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rPr>
            </w:pPr>
            <w:proofErr w:type="spellStart"/>
            <w:r>
              <w:rPr>
                <w:b/>
              </w:rPr>
              <w:t>Apprendimento</w:t>
            </w:r>
            <w:proofErr w:type="spellEnd"/>
            <w:r>
              <w:rPr>
                <w:b/>
              </w:rPr>
              <w:t xml:space="preserve"> </w:t>
            </w:r>
            <w:proofErr w:type="spellStart"/>
            <w:r>
              <w:rPr>
                <w:b/>
              </w:rPr>
              <w:t>esperienziale</w:t>
            </w:r>
            <w:proofErr w:type="spellEnd"/>
          </w:p>
          <w:p w14:paraId="19070433" w14:textId="77777777" w:rsidR="008377AB" w:rsidRPr="00554A88" w:rsidRDefault="00000000">
            <w:pPr>
              <w:numPr>
                <w:ilvl w:val="0"/>
                <w:numId w:val="18"/>
              </w:numPr>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Modello ciclico di contatto-interesse-sostenibilità</w:t>
            </w:r>
          </w:p>
          <w:p w14:paraId="3D38E567" w14:textId="77777777" w:rsidR="008377AB" w:rsidRPr="00554A88" w:rsidRDefault="00000000">
            <w:pPr>
              <w:numPr>
                <w:ilvl w:val="0"/>
                <w:numId w:val="18"/>
              </w:numPr>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Enfatizza il valore delle esperienze autentiche e significative</w:t>
            </w:r>
          </w:p>
          <w:p w14:paraId="4AC58831" w14:textId="77777777" w:rsidR="008377AB" w:rsidRPr="00554A88" w:rsidRDefault="00000000">
            <w:pPr>
              <w:numPr>
                <w:ilvl w:val="0"/>
                <w:numId w:val="18"/>
              </w:numPr>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 xml:space="preserve">Esempio: un progetto che prevede lo sviluppo di </w:t>
            </w:r>
            <w:proofErr w:type="spellStart"/>
            <w:r w:rsidRPr="00554A88">
              <w:rPr>
                <w:lang w:val="it-IT"/>
              </w:rPr>
              <w:t>un’app</w:t>
            </w:r>
            <w:proofErr w:type="spellEnd"/>
            <w:r w:rsidRPr="00554A88">
              <w:rPr>
                <w:lang w:val="it-IT"/>
              </w:rPr>
              <w:t xml:space="preserve"> per il meteo che si serve di dati locali</w:t>
            </w:r>
          </w:p>
          <w:p w14:paraId="1706AF99" w14:textId="77777777" w:rsidR="008377AB" w:rsidRDefault="00000000">
            <w:pPr>
              <w:numPr>
                <w:ilvl w:val="0"/>
                <w:numId w:val="16"/>
              </w:num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rPr>
            </w:pPr>
            <w:r>
              <w:rPr>
                <w:b/>
              </w:rPr>
              <w:t>Tinkering</w:t>
            </w:r>
          </w:p>
          <w:p w14:paraId="768B345B" w14:textId="77777777" w:rsidR="008377AB" w:rsidRPr="00554A88" w:rsidRDefault="00000000">
            <w:pPr>
              <w:numPr>
                <w:ilvl w:val="1"/>
                <w:numId w:val="16"/>
              </w:numPr>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Illustra l’approccio di un’esplorazione aperta e autodiretta</w:t>
            </w:r>
          </w:p>
          <w:p w14:paraId="5564749A" w14:textId="77777777" w:rsidR="008377AB" w:rsidRPr="00554A88" w:rsidRDefault="00000000">
            <w:pPr>
              <w:numPr>
                <w:ilvl w:val="1"/>
                <w:numId w:val="16"/>
              </w:numPr>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Sottolinea l’importanza dell’iterazione e della sperimentazione</w:t>
            </w:r>
          </w:p>
          <w:p w14:paraId="09DA275E" w14:textId="77777777" w:rsidR="008377AB" w:rsidRPr="00554A88" w:rsidRDefault="00000000">
            <w:pPr>
              <w:numPr>
                <w:ilvl w:val="1"/>
                <w:numId w:val="16"/>
              </w:numPr>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Esempio: lasciare che le e gli studenti esplorino un kit di robotica senza fornire istruzioni iniziali</w:t>
            </w:r>
          </w:p>
          <w:p w14:paraId="1124F873" w14:textId="77777777" w:rsidR="008377AB" w:rsidRDefault="00000000">
            <w:pPr>
              <w:numPr>
                <w:ilvl w:val="0"/>
                <w:numId w:val="16"/>
              </w:num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rPr>
            </w:pPr>
            <w:proofErr w:type="spellStart"/>
            <w:r>
              <w:rPr>
                <w:b/>
              </w:rPr>
              <w:t>Apprendimento</w:t>
            </w:r>
            <w:proofErr w:type="spellEnd"/>
            <w:r>
              <w:rPr>
                <w:b/>
              </w:rPr>
              <w:t xml:space="preserve"> </w:t>
            </w:r>
            <w:proofErr w:type="spellStart"/>
            <w:r>
              <w:rPr>
                <w:b/>
              </w:rPr>
              <w:t>basato</w:t>
            </w:r>
            <w:proofErr w:type="spellEnd"/>
            <w:r>
              <w:rPr>
                <w:b/>
              </w:rPr>
              <w:t xml:space="preserve"> </w:t>
            </w:r>
            <w:proofErr w:type="spellStart"/>
            <w:r>
              <w:rPr>
                <w:b/>
              </w:rPr>
              <w:t>sul</w:t>
            </w:r>
            <w:proofErr w:type="spellEnd"/>
            <w:r>
              <w:rPr>
                <w:b/>
              </w:rPr>
              <w:t xml:space="preserve"> </w:t>
            </w:r>
            <w:proofErr w:type="spellStart"/>
            <w:r>
              <w:rPr>
                <w:b/>
              </w:rPr>
              <w:t>gioco</w:t>
            </w:r>
            <w:proofErr w:type="spellEnd"/>
          </w:p>
          <w:p w14:paraId="525C0933" w14:textId="77777777" w:rsidR="008377AB" w:rsidRPr="00554A88" w:rsidRDefault="00000000">
            <w:pPr>
              <w:numPr>
                <w:ilvl w:val="1"/>
                <w:numId w:val="16"/>
              </w:num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lang w:val="it-IT"/>
              </w:rPr>
            </w:pPr>
            <w:r w:rsidRPr="00554A88">
              <w:rPr>
                <w:lang w:val="it-IT"/>
              </w:rPr>
              <w:t>Descrive in che modo i giochi promuovono un’elevata partecipazione, particolarmente tra le bambine, le ragazze e le minoranze di genere</w:t>
            </w:r>
          </w:p>
          <w:p w14:paraId="2FD9D6ED" w14:textId="77777777" w:rsidR="008377AB" w:rsidRDefault="00000000">
            <w:pPr>
              <w:numPr>
                <w:ilvl w:val="1"/>
                <w:numId w:val="16"/>
              </w:numPr>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rPr>
            </w:pPr>
            <w:proofErr w:type="spellStart"/>
            <w:r>
              <w:t>Esibisce</w:t>
            </w:r>
            <w:proofErr w:type="spellEnd"/>
            <w:r>
              <w:t xml:space="preserve"> </w:t>
            </w:r>
            <w:proofErr w:type="spellStart"/>
            <w:r>
              <w:t>esempi</w:t>
            </w:r>
            <w:proofErr w:type="spellEnd"/>
            <w:r>
              <w:t xml:space="preserve"> </w:t>
            </w:r>
            <w:proofErr w:type="spellStart"/>
            <w:r>
              <w:t>analogici</w:t>
            </w:r>
            <w:proofErr w:type="spellEnd"/>
            <w:r>
              <w:t xml:space="preserve"> e </w:t>
            </w:r>
            <w:proofErr w:type="spellStart"/>
            <w:r>
              <w:t>digitali</w:t>
            </w:r>
            <w:proofErr w:type="spellEnd"/>
          </w:p>
          <w:p w14:paraId="5316FD11" w14:textId="77777777" w:rsidR="008377AB" w:rsidRPr="00554A88" w:rsidRDefault="00000000">
            <w:pPr>
              <w:numPr>
                <w:ilvl w:val="1"/>
                <w:numId w:val="16"/>
              </w:numPr>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lang w:val="it-IT"/>
              </w:rPr>
            </w:pPr>
            <w:r w:rsidRPr="00554A88">
              <w:rPr>
                <w:lang w:val="it-IT"/>
              </w:rPr>
              <w:lastRenderedPageBreak/>
              <w:t>Esempio: le e gli studenti apprendono la logica della programmazione mediante un puzzle di carte</w:t>
            </w:r>
          </w:p>
          <w:p w14:paraId="33F74D25" w14:textId="77777777" w:rsidR="008377AB" w:rsidRPr="00554A88" w:rsidRDefault="00000000">
            <w:pPr>
              <w:spacing w:after="200"/>
              <w:cnfStyle w:val="000000000000" w:firstRow="0" w:lastRow="0" w:firstColumn="0" w:lastColumn="0" w:oddVBand="0" w:evenVBand="0" w:oddHBand="0" w:evenHBand="0" w:firstRowFirstColumn="0" w:firstRowLastColumn="0" w:lastRowFirstColumn="0" w:lastRowLastColumn="0"/>
              <w:rPr>
                <w:b/>
                <w:lang w:val="it-IT"/>
              </w:rPr>
            </w:pPr>
            <w:r w:rsidRPr="00554A88">
              <w:rPr>
                <w:b/>
                <w:lang w:val="it-IT"/>
              </w:rPr>
              <w:t>Attività 3: strategie di insegnamento inclusive di genere</w:t>
            </w:r>
          </w:p>
          <w:p w14:paraId="3157415C" w14:textId="77777777" w:rsidR="008377AB" w:rsidRPr="00554A88" w:rsidRDefault="00000000">
            <w:pPr>
              <w:numPr>
                <w:ilvl w:val="0"/>
                <w:numId w:val="19"/>
              </w:numPr>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Lavoro di gruppo: dividi le e i partecipanti in gruppi e assegna a ciascun gruppo una delle tre strategie. Poi, i gruppi dovranno proporre un metodo alternativo per l’insegnamento del materiale che si basi sulla strategia assegnata.</w:t>
            </w:r>
          </w:p>
          <w:p w14:paraId="7B7333BF" w14:textId="77777777" w:rsidR="008377AB" w:rsidRPr="00554A88" w:rsidRDefault="00000000">
            <w:pPr>
              <w:numPr>
                <w:ilvl w:val="0"/>
                <w:numId w:val="19"/>
              </w:numPr>
              <w:spacing w:after="200"/>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Presentazioni: i gruppi presenteranno brevemente alla classe i piani di lezioni elaborati.</w:t>
            </w:r>
          </w:p>
        </w:tc>
      </w:tr>
      <w:tr w:rsidR="008377AB" w:rsidRPr="00554A88" w14:paraId="2A5AC6EC" w14:textId="77777777" w:rsidTr="008377AB">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15" w:type="dxa"/>
            <w:vMerge/>
          </w:tcPr>
          <w:p w14:paraId="2AD164D1" w14:textId="77777777" w:rsidR="008377AB" w:rsidRPr="00554A88" w:rsidRDefault="008377AB">
            <w:pPr>
              <w:widowControl w:val="0"/>
              <w:pBdr>
                <w:top w:val="nil"/>
                <w:left w:val="nil"/>
                <w:bottom w:val="nil"/>
                <w:right w:val="nil"/>
                <w:between w:val="nil"/>
              </w:pBdr>
              <w:spacing w:line="276" w:lineRule="auto"/>
              <w:rPr>
                <w:lang w:val="it-IT"/>
              </w:rPr>
            </w:pPr>
          </w:p>
        </w:tc>
        <w:tc>
          <w:tcPr>
            <w:tcW w:w="6969" w:type="dxa"/>
          </w:tcPr>
          <w:p w14:paraId="3E1562EB" w14:textId="77777777" w:rsidR="008377AB" w:rsidRPr="00554A88" w:rsidRDefault="00000000">
            <w:pPr>
              <w:pStyle w:val="Titolo3"/>
              <w:numPr>
                <w:ilvl w:val="0"/>
                <w:numId w:val="12"/>
              </w:numPr>
              <w:pBdr>
                <w:top w:val="nil"/>
                <w:left w:val="nil"/>
                <w:bottom w:val="nil"/>
                <w:right w:val="nil"/>
                <w:between w:val="nil"/>
              </w:pBdr>
              <w:spacing w:before="280" w:after="80"/>
              <w:outlineLvl w:val="2"/>
              <w:cnfStyle w:val="000000100000" w:firstRow="0" w:lastRow="0" w:firstColumn="0" w:lastColumn="0" w:oddVBand="0" w:evenVBand="0" w:oddHBand="1" w:evenHBand="0" w:firstRowFirstColumn="0" w:firstRowLastColumn="0" w:lastRowFirstColumn="0" w:lastRowLastColumn="0"/>
              <w:rPr>
                <w:i w:val="0"/>
                <w:lang w:val="it-IT"/>
              </w:rPr>
            </w:pPr>
            <w:bookmarkStart w:id="11" w:name="_heading=h.hbv6wt2pjayz" w:colFirst="0" w:colLast="0"/>
            <w:bookmarkEnd w:id="11"/>
            <w:r w:rsidRPr="00554A88">
              <w:rPr>
                <w:i w:val="0"/>
                <w:u w:val="single"/>
                <w:lang w:val="it-IT"/>
              </w:rPr>
              <w:t>Affrontare la discriminazione di genere in classe (25 minuti)</w:t>
            </w:r>
          </w:p>
          <w:p w14:paraId="5580A5AA" w14:textId="77777777" w:rsidR="008377AB" w:rsidRPr="00554A88" w:rsidRDefault="00000000">
            <w:pPr>
              <w:spacing w:after="200"/>
              <w:cnfStyle w:val="000000100000" w:firstRow="0" w:lastRow="0" w:firstColumn="0" w:lastColumn="0" w:oddVBand="0" w:evenVBand="0" w:oddHBand="1" w:evenHBand="0" w:firstRowFirstColumn="0" w:firstRowLastColumn="0" w:lastRowFirstColumn="0" w:lastRowLastColumn="0"/>
              <w:rPr>
                <w:lang w:val="it-IT"/>
              </w:rPr>
            </w:pPr>
            <w:r w:rsidRPr="00554A88">
              <w:rPr>
                <w:b/>
                <w:lang w:val="it-IT"/>
              </w:rPr>
              <w:br/>
            </w:r>
            <w:r w:rsidRPr="00554A88">
              <w:rPr>
                <w:lang w:val="it-IT"/>
              </w:rPr>
              <w:t>Diapositiva 18</w:t>
            </w:r>
            <w:r w:rsidRPr="00554A88">
              <w:rPr>
                <w:lang w:val="it-IT"/>
              </w:rPr>
              <w:br/>
              <w:t>Attività 4: creare un ambiente di classe inclusivo</w:t>
            </w:r>
          </w:p>
          <w:p w14:paraId="436051DC" w14:textId="77777777" w:rsidR="008377AB" w:rsidRPr="00554A88" w:rsidRDefault="00000000">
            <w:pPr>
              <w:numPr>
                <w:ilvl w:val="0"/>
                <w:numId w:val="8"/>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Analisi dello scenario: presenta alcuni scenari di classe diversi caratterizzati da episodi di esclusione o di pregiudizi di genere. Es. Scenario 1 (un ragazzo domina la discussione di classe, mentre le ragazze e le minoranze di genere sono restie a partecipare), scenario 2 (una o un docente fornisce inavvertitamente un riscontro maggiormente tecnico a un ragazzo e uno basato sull’incoraggiamento alle ragazze e alle minoranze di genere). Dividi le e i docenti i gruppi e assegna a ciascuno uno scenario da esaminare. I gruppi dovranno poi riflettere sulla problematica, su come questa influenza le e gli studenti e su come rendere la situazione maggiormente inclusiva.</w:t>
            </w:r>
          </w:p>
          <w:p w14:paraId="61313C5D" w14:textId="77777777" w:rsidR="008377AB" w:rsidRPr="00554A88" w:rsidRDefault="00000000">
            <w:pPr>
              <w:numPr>
                <w:ilvl w:val="0"/>
                <w:numId w:val="8"/>
              </w:numPr>
              <w:spacing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 xml:space="preserve">Discussione di gruppo: ciascun gruppo presenta la propria analisi e propone soluzioni. Tu dovrai enfatizzare le buone pratiche volte a promuovere la partecipazione inclusiva nelle lezioni di informatica (ad es., parlare secondo turni strutturati, ruoli di gruppi equilibrati, strategie di </w:t>
            </w:r>
            <w:r w:rsidRPr="00554A88">
              <w:rPr>
                <w:i/>
                <w:lang w:val="it-IT"/>
              </w:rPr>
              <w:t xml:space="preserve">feedback </w:t>
            </w:r>
            <w:r w:rsidRPr="00554A88">
              <w:rPr>
                <w:lang w:val="it-IT"/>
              </w:rPr>
              <w:t>imparziali, ecc.)</w:t>
            </w:r>
          </w:p>
          <w:p w14:paraId="38E594A7" w14:textId="77777777" w:rsidR="008377AB" w:rsidRPr="00554A88" w:rsidRDefault="00000000">
            <w:pPr>
              <w:numPr>
                <w:ilvl w:val="0"/>
                <w:numId w:val="8"/>
              </w:numPr>
              <w:spacing w:after="20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Azioni da intraprendere: chiedi a ciascuna e ciascun docente di scrivere tre azioni concrete che intraprenderanno al fine di creare una classe più inclusiva. Invitare le e i partecipanti a condividere i propri propositi, se lo desiderano.</w:t>
            </w:r>
          </w:p>
          <w:p w14:paraId="5A848E7A" w14:textId="77777777" w:rsidR="008377AB" w:rsidRPr="00554A88" w:rsidRDefault="00000000">
            <w:pPr>
              <w:spacing w:after="200" w:line="259" w:lineRule="auto"/>
              <w:cnfStyle w:val="000000100000" w:firstRow="0" w:lastRow="0" w:firstColumn="0" w:lastColumn="0" w:oddVBand="0" w:evenVBand="0" w:oddHBand="1" w:evenHBand="0" w:firstRowFirstColumn="0" w:firstRowLastColumn="0" w:lastRowFirstColumn="0" w:lastRowLastColumn="0"/>
              <w:rPr>
                <w:lang w:val="it-IT"/>
              </w:rPr>
            </w:pPr>
            <w:r w:rsidRPr="00554A88">
              <w:rPr>
                <w:b/>
                <w:lang w:val="it-IT"/>
              </w:rPr>
              <w:t>Nota bene</w:t>
            </w:r>
            <w:r w:rsidRPr="00554A88">
              <w:rPr>
                <w:lang w:val="it-IT"/>
              </w:rPr>
              <w:t>: in base alle tue preferenze, questa attività può essere condotta anche come gioco di ruolo.</w:t>
            </w:r>
          </w:p>
        </w:tc>
      </w:tr>
      <w:tr w:rsidR="008377AB" w:rsidRPr="00554A88" w14:paraId="4807B05C" w14:textId="77777777" w:rsidTr="008377AB">
        <w:trPr>
          <w:trHeight w:val="417"/>
        </w:trPr>
        <w:tc>
          <w:tcPr>
            <w:cnfStyle w:val="001000000000" w:firstRow="0" w:lastRow="0" w:firstColumn="1" w:lastColumn="0" w:oddVBand="0" w:evenVBand="0" w:oddHBand="0" w:evenHBand="0" w:firstRowFirstColumn="0" w:firstRowLastColumn="0" w:lastRowFirstColumn="0" w:lastRowLastColumn="0"/>
            <w:tcW w:w="2115" w:type="dxa"/>
          </w:tcPr>
          <w:p w14:paraId="778E1516" w14:textId="77777777" w:rsidR="008377AB" w:rsidRDefault="00000000">
            <w:proofErr w:type="spellStart"/>
            <w:r>
              <w:t>Valutazione</w:t>
            </w:r>
            <w:proofErr w:type="spellEnd"/>
          </w:p>
        </w:tc>
        <w:tc>
          <w:tcPr>
            <w:tcW w:w="6969" w:type="dxa"/>
          </w:tcPr>
          <w:p w14:paraId="20CBE687" w14:textId="77777777" w:rsidR="008377AB" w:rsidRPr="00554A88" w:rsidRDefault="00000000">
            <w:pPr>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La valutazione di questa lezione può essere svolta tramite discussione.</w:t>
            </w:r>
          </w:p>
          <w:p w14:paraId="4957947F" w14:textId="77777777" w:rsidR="008377AB" w:rsidRPr="00554A88" w:rsidRDefault="008377AB">
            <w:pPr>
              <w:cnfStyle w:val="000000000000" w:firstRow="0" w:lastRow="0" w:firstColumn="0" w:lastColumn="0" w:oddVBand="0" w:evenVBand="0" w:oddHBand="0" w:evenHBand="0" w:firstRowFirstColumn="0" w:firstRowLastColumn="0" w:lastRowFirstColumn="0" w:lastRowLastColumn="0"/>
              <w:rPr>
                <w:lang w:val="it-IT"/>
              </w:rPr>
            </w:pPr>
          </w:p>
          <w:p w14:paraId="3FE8A29B" w14:textId="77777777" w:rsidR="008377AB" w:rsidRPr="00554A88" w:rsidRDefault="00000000">
            <w:pPr>
              <w:cnfStyle w:val="000000000000" w:firstRow="0" w:lastRow="0" w:firstColumn="0" w:lastColumn="0" w:oddVBand="0" w:evenVBand="0" w:oddHBand="0" w:evenHBand="0" w:firstRowFirstColumn="0" w:firstRowLastColumn="0" w:lastRowFirstColumn="0" w:lastRowLastColumn="0"/>
              <w:rPr>
                <w:lang w:val="it-IT"/>
              </w:rPr>
            </w:pPr>
            <w:r w:rsidRPr="00554A88">
              <w:rPr>
                <w:b/>
                <w:lang w:val="it-IT"/>
              </w:rPr>
              <w:t>Discussione</w:t>
            </w:r>
            <w:r w:rsidRPr="00554A88">
              <w:rPr>
                <w:lang w:val="it-IT"/>
              </w:rPr>
              <w:t>: valuta la comprensione delle e dei docenti sull’informatica inclusiva di genere servendoti delle seguenti domande:</w:t>
            </w:r>
          </w:p>
          <w:p w14:paraId="5AB2DF4F" w14:textId="77777777" w:rsidR="008377AB" w:rsidRPr="00554A88" w:rsidRDefault="00000000">
            <w:pPr>
              <w:numPr>
                <w:ilvl w:val="0"/>
                <w:numId w:val="5"/>
              </w:numPr>
              <w:pBdr>
                <w:top w:val="nil"/>
                <w:left w:val="nil"/>
                <w:bottom w:val="nil"/>
                <w:right w:val="nil"/>
                <w:between w:val="nil"/>
              </w:pBdr>
              <w:spacing w:line="259" w:lineRule="auto"/>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t>potreste fornire esempi di pregiudizi di genere osservati in classe? In che modo hanno influito sulla partecipazione e sulle prestazioni delle e degli studenti?</w:t>
            </w:r>
          </w:p>
          <w:p w14:paraId="1B2DD316" w14:textId="77777777" w:rsidR="008377AB" w:rsidRPr="00554A88" w:rsidRDefault="00000000">
            <w:pPr>
              <w:numPr>
                <w:ilvl w:val="0"/>
                <w:numId w:val="5"/>
              </w:numPr>
              <w:pBdr>
                <w:top w:val="nil"/>
                <w:left w:val="nil"/>
                <w:bottom w:val="nil"/>
                <w:right w:val="nil"/>
                <w:between w:val="nil"/>
              </w:pBdr>
              <w:spacing w:after="160" w:line="259" w:lineRule="auto"/>
              <w:cnfStyle w:val="000000000000" w:firstRow="0" w:lastRow="0" w:firstColumn="0" w:lastColumn="0" w:oddVBand="0" w:evenVBand="0" w:oddHBand="0" w:evenHBand="0" w:firstRowFirstColumn="0" w:firstRowLastColumn="0" w:lastRowFirstColumn="0" w:lastRowLastColumn="0"/>
              <w:rPr>
                <w:lang w:val="it-IT"/>
              </w:rPr>
            </w:pPr>
            <w:r w:rsidRPr="00554A88">
              <w:rPr>
                <w:lang w:val="it-IT"/>
              </w:rPr>
              <w:lastRenderedPageBreak/>
              <w:t>Quali strategie si possono utilizzare per garantire una valutazione giusta e inclusiva?</w:t>
            </w:r>
          </w:p>
        </w:tc>
      </w:tr>
    </w:tbl>
    <w:p w14:paraId="6A058A31" w14:textId="77777777" w:rsidR="008377AB" w:rsidRPr="00554A88" w:rsidRDefault="008377AB">
      <w:pPr>
        <w:tabs>
          <w:tab w:val="left" w:pos="1620"/>
        </w:tabs>
        <w:rPr>
          <w:lang w:val="it-IT"/>
        </w:rPr>
      </w:pPr>
    </w:p>
    <w:tbl>
      <w:tblPr>
        <w:tblStyle w:val="affa"/>
        <w:tblpPr w:leftFromText="180" w:rightFromText="180" w:vertAnchor="text" w:tblpY="224"/>
        <w:tblW w:w="9067" w:type="dxa"/>
        <w:tblInd w:w="0"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8377AB" w14:paraId="40A296B6" w14:textId="77777777" w:rsidTr="008377AB">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719372A8" w14:textId="77777777" w:rsidR="008377AB" w:rsidRDefault="00000000">
            <w:pPr>
              <w:rPr>
                <w:color w:val="F2F2F2"/>
                <w:sz w:val="24"/>
                <w:szCs w:val="24"/>
              </w:rPr>
            </w:pPr>
            <w:r>
              <w:rPr>
                <w:color w:val="F2F2F2"/>
                <w:sz w:val="24"/>
                <w:szCs w:val="24"/>
              </w:rPr>
              <w:t>INSEGNAMENTI CHIAVE</w:t>
            </w:r>
          </w:p>
        </w:tc>
      </w:tr>
      <w:tr w:rsidR="008377AB" w:rsidRPr="00554A88" w14:paraId="7EDEDE59" w14:textId="77777777" w:rsidTr="008377AB">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387C8B60" w14:textId="77777777" w:rsidR="008377AB" w:rsidRDefault="00000000">
            <w:pPr>
              <w:rPr>
                <w:color w:val="F2F2F2"/>
                <w:sz w:val="24"/>
                <w:szCs w:val="24"/>
              </w:rPr>
            </w:pPr>
            <w:proofErr w:type="spellStart"/>
            <w:r>
              <w:t>Riflessioni</w:t>
            </w:r>
            <w:proofErr w:type="spellEnd"/>
            <w:r>
              <w:t xml:space="preserve"> e </w:t>
            </w:r>
            <w:proofErr w:type="spellStart"/>
            <w:r>
              <w:t>conclusione</w:t>
            </w:r>
            <w:proofErr w:type="spellEnd"/>
          </w:p>
        </w:tc>
        <w:tc>
          <w:tcPr>
            <w:tcW w:w="6945" w:type="dxa"/>
          </w:tcPr>
          <w:p w14:paraId="1CFBB1C0" w14:textId="77777777" w:rsidR="008377AB" w:rsidRPr="00554A88" w:rsidRDefault="00000000">
            <w:pPr>
              <w:pBdr>
                <w:top w:val="nil"/>
                <w:left w:val="nil"/>
                <w:bottom w:val="nil"/>
                <w:right w:val="nil"/>
                <w:between w:val="nil"/>
              </w:pBdr>
              <w:spacing w:after="160"/>
              <w:jc w:val="both"/>
              <w:cnfStyle w:val="000000100000" w:firstRow="0" w:lastRow="0" w:firstColumn="0" w:lastColumn="0" w:oddVBand="0" w:evenVBand="0" w:oddHBand="1" w:evenHBand="0" w:firstRowFirstColumn="0" w:firstRowLastColumn="0" w:lastRowFirstColumn="0" w:lastRowLastColumn="0"/>
              <w:rPr>
                <w:lang w:val="it-IT"/>
              </w:rPr>
            </w:pPr>
            <w:r w:rsidRPr="00554A88">
              <w:rPr>
                <w:lang w:val="it-IT"/>
              </w:rPr>
              <w:t xml:space="preserve">In questa lezione, abbiamo esplorato l'importanza dell'insegnamento e della valutazione inclusiva di genere nella formazione informatica. Abbiamo esaminato come i pregiudizi di genere possono manifestarsi in classe, nei materiali didattici e nelle valutazioni, e abbiamo discusso le strategie per creare un ambiente di apprendimento più equo e favorevole. Abbiamo imparato a riconoscere i pregiudizi di genere più comuni nell'educazione all'informatica, come la sottorappresentazione negli esempi forniti, la partecipazione diseguale e gli stereotipi di genere nelle valutazioni. Abbiamo analizzato come il linguaggio inclusivo e le diverse rappresentazioni possano favorire un ambiente di apprendimento più equo. Inoltre, abbiamo esplorato le strategie per progettare risorse e valutazioni eque e inclusive, contrastando i pregiudizi e offrendo molteplici approcci alla risoluzione dei problemi. Abbiamo trattato anche interventi pratici in classe, tra cui l'adozione di turni strutturati, </w:t>
            </w:r>
            <w:r w:rsidRPr="00554A88">
              <w:rPr>
                <w:i/>
                <w:lang w:val="it-IT"/>
              </w:rPr>
              <w:t xml:space="preserve">feedback </w:t>
            </w:r>
            <w:r w:rsidRPr="00554A88">
              <w:rPr>
                <w:lang w:val="it-IT"/>
              </w:rPr>
              <w:t>equilibrati e discussioni basate su scenari, per promuovere un impegno paritario tra le e gli studenti.</w:t>
            </w:r>
          </w:p>
        </w:tc>
      </w:tr>
      <w:tr w:rsidR="008377AB" w:rsidRPr="00554A88" w14:paraId="5219E304" w14:textId="77777777" w:rsidTr="008377AB">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47050719" w14:textId="77777777" w:rsidR="008377AB" w:rsidRDefault="00000000">
            <w:proofErr w:type="spellStart"/>
            <w:r>
              <w:t>Compiti</w:t>
            </w:r>
            <w:proofErr w:type="spellEnd"/>
            <w:r>
              <w:t xml:space="preserve"> </w:t>
            </w:r>
            <w:proofErr w:type="spellStart"/>
            <w:r>
              <w:t>aggiuntivi</w:t>
            </w:r>
            <w:proofErr w:type="spellEnd"/>
          </w:p>
        </w:tc>
        <w:tc>
          <w:tcPr>
            <w:tcW w:w="6945" w:type="dxa"/>
          </w:tcPr>
          <w:p w14:paraId="26EE3335" w14:textId="77777777" w:rsidR="008377AB" w:rsidRPr="00554A88" w:rsidRDefault="00000000">
            <w:pPr>
              <w:cnfStyle w:val="000000000000" w:firstRow="0" w:lastRow="0" w:firstColumn="0" w:lastColumn="0" w:oddVBand="0" w:evenVBand="0" w:oddHBand="0" w:evenHBand="0" w:firstRowFirstColumn="0" w:firstRowLastColumn="0" w:lastRowFirstColumn="0" w:lastRowLastColumn="0"/>
              <w:rPr>
                <w:lang w:val="it-IT"/>
              </w:rPr>
            </w:pPr>
            <w:r w:rsidRPr="00554A88">
              <w:rPr>
                <w:b/>
                <w:lang w:val="it-IT"/>
              </w:rPr>
              <w:t>Riflessioni e osservazioni di classe</w:t>
            </w:r>
            <w:r w:rsidRPr="00554A88">
              <w:rPr>
                <w:lang w:val="it-IT"/>
              </w:rPr>
              <w:t xml:space="preserve">: osservate una delle vostre lezioni di informatica e prendete appunti sulla partecipazione delle e degli studenti, sulla distribuzione del </w:t>
            </w:r>
            <w:r w:rsidRPr="00554A88">
              <w:rPr>
                <w:i/>
                <w:lang w:val="it-IT"/>
              </w:rPr>
              <w:t xml:space="preserve">feedback </w:t>
            </w:r>
            <w:r w:rsidRPr="00554A88">
              <w:rPr>
                <w:lang w:val="it-IT"/>
              </w:rPr>
              <w:t>e sull'uso del linguaggio. Dopo la lezione, riflettete in privato o con un compagno sulle dinamiche di genere in classe. Utilizzando quanto appreso in questa sessione, fate un elenco puntato di azioni che potreste intraprendere per rendere il vostro insegnamento più inclusivo.</w:t>
            </w:r>
          </w:p>
          <w:p w14:paraId="1B2F4C07" w14:textId="77777777" w:rsidR="008377AB" w:rsidRPr="00554A88" w:rsidRDefault="008377AB">
            <w:pPr>
              <w:cnfStyle w:val="000000000000" w:firstRow="0" w:lastRow="0" w:firstColumn="0" w:lastColumn="0" w:oddVBand="0" w:evenVBand="0" w:oddHBand="0" w:evenHBand="0" w:firstRowFirstColumn="0" w:firstRowLastColumn="0" w:lastRowFirstColumn="0" w:lastRowLastColumn="0"/>
              <w:rPr>
                <w:lang w:val="it-IT"/>
              </w:rPr>
            </w:pPr>
          </w:p>
          <w:p w14:paraId="00845EDF" w14:textId="77777777" w:rsidR="008377AB" w:rsidRPr="00554A88" w:rsidRDefault="008377AB">
            <w:pPr>
              <w:cnfStyle w:val="000000000000" w:firstRow="0" w:lastRow="0" w:firstColumn="0" w:lastColumn="0" w:oddVBand="0" w:evenVBand="0" w:oddHBand="0" w:evenHBand="0" w:firstRowFirstColumn="0" w:firstRowLastColumn="0" w:lastRowFirstColumn="0" w:lastRowLastColumn="0"/>
              <w:rPr>
                <w:lang w:val="it-IT"/>
              </w:rPr>
            </w:pPr>
          </w:p>
          <w:p w14:paraId="71383892" w14:textId="77777777" w:rsidR="008377AB" w:rsidRPr="00554A88" w:rsidRDefault="008377AB">
            <w:pPr>
              <w:cnfStyle w:val="000000000000" w:firstRow="0" w:lastRow="0" w:firstColumn="0" w:lastColumn="0" w:oddVBand="0" w:evenVBand="0" w:oddHBand="0" w:evenHBand="0" w:firstRowFirstColumn="0" w:firstRowLastColumn="0" w:lastRowFirstColumn="0" w:lastRowLastColumn="0"/>
              <w:rPr>
                <w:lang w:val="it-IT"/>
              </w:rPr>
            </w:pPr>
          </w:p>
          <w:p w14:paraId="14DF35A6" w14:textId="77777777" w:rsidR="008377AB" w:rsidRPr="00554A88" w:rsidRDefault="00000000">
            <w:pPr>
              <w:cnfStyle w:val="000000000000" w:firstRow="0" w:lastRow="0" w:firstColumn="0" w:lastColumn="0" w:oddVBand="0" w:evenVBand="0" w:oddHBand="0" w:evenHBand="0" w:firstRowFirstColumn="0" w:firstRowLastColumn="0" w:lastRowFirstColumn="0" w:lastRowLastColumn="0"/>
              <w:rPr>
                <w:lang w:val="it-IT"/>
              </w:rPr>
            </w:pPr>
            <w:r w:rsidRPr="00554A88">
              <w:rPr>
                <w:b/>
                <w:lang w:val="it-IT"/>
              </w:rPr>
              <w:t>Sviluppo di un piano di lezione inclusivo</w:t>
            </w:r>
            <w:r w:rsidRPr="00554A88">
              <w:rPr>
                <w:lang w:val="it-IT"/>
              </w:rPr>
              <w:t>: elaborate un mini piano di lezione (15-20 minuti) su un argomento di informatica, garantendo l’uso del linguaggio inclusivo, esempi variegati e metodi di valutazione equi. Preparate una breve spiegazione di come la lezione promuove l'inclusività.</w:t>
            </w:r>
          </w:p>
        </w:tc>
      </w:tr>
    </w:tbl>
    <w:p w14:paraId="4626F5C2" w14:textId="77777777" w:rsidR="008377AB" w:rsidRPr="00554A88" w:rsidRDefault="008377AB">
      <w:pPr>
        <w:rPr>
          <w:i/>
          <w:lang w:val="it-IT"/>
        </w:rPr>
      </w:pPr>
    </w:p>
    <w:sectPr w:rsidR="008377AB" w:rsidRPr="00554A88">
      <w:headerReference w:type="default" r:id="rId29"/>
      <w:footerReference w:type="default" r:id="rId30"/>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093D8" w14:textId="77777777" w:rsidR="00524CC9" w:rsidRDefault="00524CC9">
      <w:pPr>
        <w:spacing w:after="0" w:line="240" w:lineRule="auto"/>
      </w:pPr>
      <w:r>
        <w:separator/>
      </w:r>
    </w:p>
  </w:endnote>
  <w:endnote w:type="continuationSeparator" w:id="0">
    <w:p w14:paraId="1DBFAEAE" w14:textId="77777777" w:rsidR="00524CC9" w:rsidRDefault="00524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43F2F" w14:textId="77777777" w:rsidR="008377AB" w:rsidRDefault="00000000">
    <w:pPr>
      <w:pBdr>
        <w:top w:val="nil"/>
        <w:left w:val="nil"/>
        <w:bottom w:val="nil"/>
        <w:right w:val="nil"/>
        <w:between w:val="nil"/>
      </w:pBdr>
      <w:tabs>
        <w:tab w:val="center" w:pos="4680"/>
        <w:tab w:val="right" w:pos="9360"/>
      </w:tabs>
      <w:spacing w:after="0" w:line="240" w:lineRule="auto"/>
    </w:pPr>
    <w:r>
      <w:rPr>
        <w:noProof/>
      </w:rPr>
      <mc:AlternateContent>
        <mc:Choice Requires="wps">
          <w:drawing>
            <wp:anchor distT="0" distB="0" distL="114300" distR="114300" simplePos="0" relativeHeight="251658240" behindDoc="0" locked="0" layoutInCell="1" hidden="0" allowOverlap="1" wp14:anchorId="10477AAE" wp14:editId="213A164B">
              <wp:simplePos x="0" y="0"/>
              <wp:positionH relativeFrom="column">
                <wp:posOffset>800100</wp:posOffset>
              </wp:positionH>
              <wp:positionV relativeFrom="paragraph">
                <wp:posOffset>63500</wp:posOffset>
              </wp:positionV>
              <wp:extent cx="5471795" cy="674246"/>
              <wp:effectExtent l="0" t="0" r="0" b="0"/>
              <wp:wrapNone/>
              <wp:docPr id="1597007027" name="Rettangolo 1597007027"/>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31FC1195" w14:textId="77777777" w:rsidR="008377AB" w:rsidRPr="00554A88" w:rsidRDefault="00000000">
                          <w:pPr>
                            <w:spacing w:after="0" w:line="240" w:lineRule="auto"/>
                            <w:textDirection w:val="btLr"/>
                            <w:rPr>
                              <w:lang w:val="it-IT"/>
                            </w:rPr>
                          </w:pPr>
                          <w:r w:rsidRPr="00554A88">
                            <w:rPr>
                              <w:sz w:val="16"/>
                              <w:lang w:val="it-IT"/>
                            </w:rPr>
                            <w:t>Finanziato dall'Unione europea. Le opinioni espresse appartengono, tuttavia, al solo o ai soli autori e non riflettono necessariamente le opinioni dell'Unione europea o dell’Agenzia esecutiva europea per l’istruzione e la cultura (EACEA). Né l'Unione europea né l'EACEA possono esserne ritenute responsabili. Convenzione di sovvenzione n.101132887</w:t>
                          </w:r>
                        </w:p>
                      </w:txbxContent>
                    </wps:txbx>
                    <wps:bodyPr spcFirstLastPara="1" wrap="square" lIns="91425" tIns="45700" rIns="91425" bIns="45700" anchor="t" anchorCtr="0">
                      <a:noAutofit/>
                    </wps:bodyPr>
                  </wps:wsp>
                </a:graphicData>
              </a:graphic>
            </wp:anchor>
          </w:drawing>
        </mc:Choice>
        <mc:Fallback>
          <w:pict>
            <v:rect w14:anchorId="10477AAE" id="Rettangolo 1597007027" o:spid="_x0000_s1028" style="position:absolute;margin-left:63pt;margin-top:5pt;width:430.85pt;height:53.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" filled="f" stroked="f">
              <v:textbox inset="2.53958mm,1.2694mm,2.53958mm,1.2694mm">
                <w:txbxContent>
                  <w:p w14:paraId="31FC1195" w14:textId="77777777" w:rsidR="008377AB" w:rsidRPr="00554A88" w:rsidRDefault="00000000">
                    <w:pPr>
                      <w:spacing w:after="0" w:line="240" w:lineRule="auto"/>
                      <w:textDirection w:val="btLr"/>
                      <w:rPr>
                        <w:lang w:val="it-IT"/>
                      </w:rPr>
                    </w:pPr>
                    <w:r w:rsidRPr="00554A88">
                      <w:rPr>
                        <w:sz w:val="16"/>
                        <w:lang w:val="it-IT"/>
                      </w:rPr>
                      <w:t>Finanziato dall'Unione europea. Le opinioni espresse appartengono, tuttavia, al solo o ai soli autori e non riflettono necessariamente le opinioni dell'Unione europea o dell’Agenzia esecutiva europea per l’istruzione e la cultura (EACEA). Né l'Unione europea né l'EACEA possono esserne ritenute responsabili. Convenzione di sovvenzione n.101132887</w:t>
                    </w:r>
                  </w:p>
                </w:txbxContent>
              </v:textbox>
            </v:rect>
          </w:pict>
        </mc:Fallback>
      </mc:AlternateContent>
    </w:r>
    <w:r>
      <w:rPr>
        <w:noProof/>
      </w:rPr>
      <w:drawing>
        <wp:anchor distT="0" distB="0" distL="114300" distR="114300" simplePos="0" relativeHeight="251659264" behindDoc="0" locked="0" layoutInCell="1" hidden="0" allowOverlap="1" wp14:anchorId="4C75EDBF" wp14:editId="632EA28F">
          <wp:simplePos x="0" y="0"/>
          <wp:positionH relativeFrom="column">
            <wp:posOffset>-647064</wp:posOffset>
          </wp:positionH>
          <wp:positionV relativeFrom="paragraph">
            <wp:posOffset>254000</wp:posOffset>
          </wp:positionV>
          <wp:extent cx="1311275" cy="290195"/>
          <wp:effectExtent l="0" t="0" r="0" b="0"/>
          <wp:wrapNone/>
          <wp:docPr id="159700703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1311275" cy="290195"/>
                  </a:xfrm>
                  <a:prstGeom prst="rect">
                    <a:avLst/>
                  </a:prstGeom>
                  <a:ln/>
                </pic:spPr>
              </pic:pic>
            </a:graphicData>
          </a:graphic>
        </wp:anchor>
      </w:drawing>
    </w:r>
  </w:p>
  <w:p w14:paraId="0588DC5F" w14:textId="77777777" w:rsidR="008377AB" w:rsidRDefault="008377AB">
    <w:pPr>
      <w:pBdr>
        <w:top w:val="nil"/>
        <w:left w:val="nil"/>
        <w:bottom w:val="nil"/>
        <w:right w:val="nil"/>
        <w:between w:val="nil"/>
      </w:pBd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C3B7D" w14:textId="77777777" w:rsidR="00524CC9" w:rsidRDefault="00524CC9">
      <w:pPr>
        <w:spacing w:after="0" w:line="240" w:lineRule="auto"/>
      </w:pPr>
      <w:r>
        <w:separator/>
      </w:r>
    </w:p>
  </w:footnote>
  <w:footnote w:type="continuationSeparator" w:id="0">
    <w:p w14:paraId="7434D4D9" w14:textId="77777777" w:rsidR="00524CC9" w:rsidRDefault="00524C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FF83A" w14:textId="77777777" w:rsidR="008377AB"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074D"/>
    <w:multiLevelType w:val="multilevel"/>
    <w:tmpl w:val="B0540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2F2B18"/>
    <w:multiLevelType w:val="multilevel"/>
    <w:tmpl w:val="C6DC85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8032E6"/>
    <w:multiLevelType w:val="multilevel"/>
    <w:tmpl w:val="D2464A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21F6E48"/>
    <w:multiLevelType w:val="multilevel"/>
    <w:tmpl w:val="0420A79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4924DFB"/>
    <w:multiLevelType w:val="multilevel"/>
    <w:tmpl w:val="D0B8B8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C5F324F"/>
    <w:multiLevelType w:val="multilevel"/>
    <w:tmpl w:val="5C1AEB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CE710B0"/>
    <w:multiLevelType w:val="multilevel"/>
    <w:tmpl w:val="E1B45B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43B17B3"/>
    <w:multiLevelType w:val="multilevel"/>
    <w:tmpl w:val="A5AEB4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4852CCC"/>
    <w:multiLevelType w:val="multilevel"/>
    <w:tmpl w:val="AD5649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4902DD2"/>
    <w:multiLevelType w:val="multilevel"/>
    <w:tmpl w:val="FFCCF69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66E56A4"/>
    <w:multiLevelType w:val="multilevel"/>
    <w:tmpl w:val="1480DD42"/>
    <w:lvl w:ilvl="0">
      <w:start w:val="1"/>
      <w:numFmt w:val="bullet"/>
      <w:lvlText w:val="-"/>
      <w:lvlJc w:val="left"/>
      <w:pPr>
        <w:ind w:left="927" w:hanging="360"/>
      </w:pPr>
      <w:rPr>
        <w:rFonts w:ascii="Calibri" w:eastAsia="Calibri" w:hAnsi="Calibri" w:cs="Calibri"/>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1" w15:restartNumberingAfterBreak="0">
    <w:nsid w:val="38A13BF3"/>
    <w:multiLevelType w:val="multilevel"/>
    <w:tmpl w:val="46DCD1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A3662CE"/>
    <w:multiLevelType w:val="multilevel"/>
    <w:tmpl w:val="9E965A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AAB6ECE"/>
    <w:multiLevelType w:val="multilevel"/>
    <w:tmpl w:val="2CE6F1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1AD38B4"/>
    <w:multiLevelType w:val="multilevel"/>
    <w:tmpl w:val="37C841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72817F7"/>
    <w:multiLevelType w:val="multilevel"/>
    <w:tmpl w:val="255CAA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52E55570"/>
    <w:multiLevelType w:val="multilevel"/>
    <w:tmpl w:val="DEBEB6A2"/>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BFA512B"/>
    <w:multiLevelType w:val="multilevel"/>
    <w:tmpl w:val="245C5ACC"/>
    <w:lvl w:ilvl="0">
      <w:start w:val="1"/>
      <w:numFmt w:val="bullet"/>
      <w:lvlText w:val="●"/>
      <w:lvlJc w:val="right"/>
      <w:pPr>
        <w:ind w:left="720" w:hanging="360"/>
      </w:pPr>
      <w:rPr>
        <w:u w:val="none"/>
      </w:rPr>
    </w:lvl>
    <w:lvl w:ilvl="1">
      <w:start w:val="1"/>
      <w:numFmt w:val="lowerLetter"/>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E4B2046"/>
    <w:multiLevelType w:val="multilevel"/>
    <w:tmpl w:val="A2B0E5F0"/>
    <w:lvl w:ilvl="0">
      <w:start w:val="1"/>
      <w:numFmt w:val="decimal"/>
      <w:lvlText w:val="%1."/>
      <w:lvlJc w:val="left"/>
      <w:pPr>
        <w:ind w:left="283"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A3F3E69"/>
    <w:multiLevelType w:val="multilevel"/>
    <w:tmpl w:val="F376B834"/>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EB029F6"/>
    <w:multiLevelType w:val="multilevel"/>
    <w:tmpl w:val="0F1014C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F82234A"/>
    <w:multiLevelType w:val="multilevel"/>
    <w:tmpl w:val="E8F0F8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EE4B9E"/>
    <w:multiLevelType w:val="multilevel"/>
    <w:tmpl w:val="7138CA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0CD3C2E"/>
    <w:multiLevelType w:val="multilevel"/>
    <w:tmpl w:val="026C324A"/>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num w:numId="1" w16cid:durableId="760025828">
    <w:abstractNumId w:val="11"/>
  </w:num>
  <w:num w:numId="2" w16cid:durableId="2135827370">
    <w:abstractNumId w:val="7"/>
  </w:num>
  <w:num w:numId="3" w16cid:durableId="1875072890">
    <w:abstractNumId w:val="2"/>
  </w:num>
  <w:num w:numId="4" w16cid:durableId="454642443">
    <w:abstractNumId w:val="19"/>
  </w:num>
  <w:num w:numId="5" w16cid:durableId="1846703639">
    <w:abstractNumId w:val="16"/>
  </w:num>
  <w:num w:numId="6" w16cid:durableId="1659649192">
    <w:abstractNumId w:val="21"/>
  </w:num>
  <w:num w:numId="7" w16cid:durableId="1530991825">
    <w:abstractNumId w:val="12"/>
  </w:num>
  <w:num w:numId="8" w16cid:durableId="638733335">
    <w:abstractNumId w:val="8"/>
  </w:num>
  <w:num w:numId="9" w16cid:durableId="2060126630">
    <w:abstractNumId w:val="10"/>
  </w:num>
  <w:num w:numId="10" w16cid:durableId="1325624227">
    <w:abstractNumId w:val="5"/>
  </w:num>
  <w:num w:numId="11" w16cid:durableId="389966071">
    <w:abstractNumId w:val="0"/>
  </w:num>
  <w:num w:numId="12" w16cid:durableId="1776243460">
    <w:abstractNumId w:val="18"/>
  </w:num>
  <w:num w:numId="13" w16cid:durableId="1727605277">
    <w:abstractNumId w:val="3"/>
  </w:num>
  <w:num w:numId="14" w16cid:durableId="744651339">
    <w:abstractNumId w:val="14"/>
  </w:num>
  <w:num w:numId="15" w16cid:durableId="1092819891">
    <w:abstractNumId w:val="23"/>
  </w:num>
  <w:num w:numId="16" w16cid:durableId="1400447630">
    <w:abstractNumId w:val="9"/>
  </w:num>
  <w:num w:numId="17" w16cid:durableId="374428730">
    <w:abstractNumId w:val="1"/>
  </w:num>
  <w:num w:numId="18" w16cid:durableId="233972464">
    <w:abstractNumId w:val="15"/>
  </w:num>
  <w:num w:numId="19" w16cid:durableId="1402173544">
    <w:abstractNumId w:val="22"/>
  </w:num>
  <w:num w:numId="20" w16cid:durableId="1569026770">
    <w:abstractNumId w:val="6"/>
  </w:num>
  <w:num w:numId="21" w16cid:durableId="721907451">
    <w:abstractNumId w:val="17"/>
  </w:num>
  <w:num w:numId="22" w16cid:durableId="432283559">
    <w:abstractNumId w:val="13"/>
  </w:num>
  <w:num w:numId="23" w16cid:durableId="115684696">
    <w:abstractNumId w:val="4"/>
  </w:num>
  <w:num w:numId="24" w16cid:durableId="13074655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7AB"/>
    <w:rsid w:val="00524CC9"/>
    <w:rsid w:val="00554A88"/>
    <w:rsid w:val="008377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41DF6"/>
  <w15:docId w15:val="{6D3C2E09-0447-48C6-A27C-62F243224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en-GB"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outlineLvl w:val="0"/>
    </w:pPr>
    <w:rPr>
      <w:b/>
      <w:color w:val="16C45B"/>
      <w:sz w:val="36"/>
      <w:szCs w:val="36"/>
    </w:rPr>
  </w:style>
  <w:style w:type="paragraph" w:styleId="Titolo2">
    <w:name w:val="heading 2"/>
    <w:basedOn w:val="Normale"/>
    <w:next w:val="Normale"/>
    <w:uiPriority w:val="9"/>
    <w:unhideWhenUsed/>
    <w:qFormat/>
    <w:pPr>
      <w:outlineLvl w:val="1"/>
    </w:pPr>
    <w:rPr>
      <w:b/>
      <w:color w:val="16C45B"/>
      <w:sz w:val="28"/>
      <w:szCs w:val="28"/>
    </w:rPr>
  </w:style>
  <w:style w:type="paragraph" w:styleId="Titolo3">
    <w:name w:val="heading 3"/>
    <w:basedOn w:val="Normale"/>
    <w:next w:val="Normale"/>
    <w:uiPriority w:val="9"/>
    <w:unhideWhenUsed/>
    <w:qFormat/>
    <w:pPr>
      <w:outlineLvl w:val="2"/>
    </w:pPr>
    <w:rPr>
      <w:b/>
      <w:i/>
      <w:sz w:val="26"/>
      <w:szCs w:val="26"/>
    </w:rPr>
  </w:style>
  <w:style w:type="paragraph" w:styleId="Titolo4">
    <w:name w:val="heading 4"/>
    <w:basedOn w:val="Normale"/>
    <w:next w:val="Normale"/>
    <w:uiPriority w:val="9"/>
    <w:semiHidden/>
    <w:unhideWhenUsed/>
    <w:qFormat/>
    <w:pPr>
      <w:outlineLvl w:val="3"/>
    </w:pPr>
    <w:rPr>
      <w:b/>
      <w:i/>
      <w:color w:val="2B454E"/>
      <w:sz w:val="24"/>
      <w:szCs w:val="24"/>
    </w:rPr>
  </w:style>
  <w:style w:type="paragraph" w:styleId="Titolo5">
    <w:name w:val="heading 5"/>
    <w:basedOn w:val="Normale"/>
    <w:next w:val="Normale"/>
    <w:uiPriority w:val="9"/>
    <w:semiHidden/>
    <w:unhideWhenUsed/>
    <w:qFormat/>
    <w:pPr>
      <w:keepNext/>
      <w:keepLines/>
      <w:spacing w:before="40" w:after="0"/>
      <w:outlineLvl w:val="4"/>
    </w:pPr>
    <w:rPr>
      <w:color w:val="16C45B"/>
    </w:rPr>
  </w:style>
  <w:style w:type="paragraph" w:styleId="Titolo6">
    <w:name w:val="heading 6"/>
    <w:basedOn w:val="Normale"/>
    <w:next w:val="Normale"/>
    <w:uiPriority w:val="9"/>
    <w:semiHidden/>
    <w:unhideWhenUsed/>
    <w:qFormat/>
    <w:pPr>
      <w:keepNext/>
      <w:keepLines/>
      <w:spacing w:before="40" w:after="0"/>
      <w:outlineLvl w:val="5"/>
    </w:pPr>
    <w:rPr>
      <w:color w:val="0A612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Intestazione">
    <w:name w:val="header"/>
    <w:link w:val="IntestazioneCarattere"/>
    <w:uiPriority w:val="99"/>
    <w:unhideWhenUsed/>
    <w:rsid w:val="000E72EE"/>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0E72EE"/>
  </w:style>
  <w:style w:type="paragraph" w:styleId="Pidipagina">
    <w:name w:val="footer"/>
    <w:link w:val="PidipaginaCarattere"/>
    <w:uiPriority w:val="99"/>
    <w:unhideWhenUsed/>
    <w:rsid w:val="000E72EE"/>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0E72EE"/>
  </w:style>
  <w:style w:type="character" w:customStyle="1" w:styleId="Titolo1Carattere">
    <w:name w:val="Titolo 1 Carattere"/>
    <w:basedOn w:val="Carpredefinitoparagrafo"/>
    <w:uiPriority w:val="9"/>
    <w:rsid w:val="001C523D"/>
    <w:rPr>
      <w:rFonts w:ascii="Calibri" w:hAnsi="Calibri"/>
      <w:b/>
      <w:color w:val="16C45B" w:themeColor="accent6"/>
      <w:sz w:val="36"/>
      <w:szCs w:val="36"/>
    </w:rPr>
  </w:style>
  <w:style w:type="character" w:customStyle="1" w:styleId="Titolo2Carattere">
    <w:name w:val="Titolo 2 Carattere"/>
    <w:basedOn w:val="Carpredefinitoparagrafo"/>
    <w:uiPriority w:val="9"/>
    <w:rsid w:val="00986B82"/>
    <w:rPr>
      <w:rFonts w:ascii="Calibri" w:hAnsi="Calibri"/>
      <w:b/>
      <w:color w:val="16C45B" w:themeColor="accent3"/>
      <w:sz w:val="28"/>
      <w:szCs w:val="32"/>
    </w:rPr>
  </w:style>
  <w:style w:type="character" w:customStyle="1" w:styleId="Titolo3Carattere">
    <w:name w:val="Titolo 3 Carattere"/>
    <w:basedOn w:val="Carpredefinitoparagrafo"/>
    <w:uiPriority w:val="9"/>
    <w:rsid w:val="00986B82"/>
    <w:rPr>
      <w:rFonts w:ascii="Calibri" w:hAnsi="Calibri"/>
      <w:b/>
      <w:i/>
      <w:color w:val="1D1D1B" w:themeColor="accent2"/>
      <w:sz w:val="26"/>
      <w:szCs w:val="28"/>
    </w:rPr>
  </w:style>
  <w:style w:type="character" w:customStyle="1" w:styleId="Titolo4Carattere">
    <w:name w:val="Titolo 4 Carattere"/>
    <w:basedOn w:val="Carpredefinitoparagrafo"/>
    <w:uiPriority w:val="9"/>
    <w:rsid w:val="00986B82"/>
    <w:rPr>
      <w:rFonts w:ascii="Calibri" w:hAnsi="Calibri"/>
      <w:b/>
      <w:i/>
      <w:color w:val="2B454E" w:themeColor="accent4"/>
      <w:sz w:val="24"/>
      <w:szCs w:val="28"/>
    </w:rPr>
  </w:style>
  <w:style w:type="paragraph" w:styleId="Paragrafoelenco">
    <w:name w:val="List Paragraph"/>
    <w:uiPriority w:val="34"/>
    <w:qFormat/>
    <w:rsid w:val="00B22564"/>
    <w:pPr>
      <w:ind w:left="720"/>
      <w:contextualSpacing/>
    </w:pPr>
  </w:style>
  <w:style w:type="table" w:styleId="Grigliatabella">
    <w:name w:val="Table Grid"/>
    <w:basedOn w:val="Tabellanormale"/>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C523D"/>
    <w:rPr>
      <w:color w:val="16C45B" w:themeColor="hyperlink"/>
      <w:u w:val="single"/>
    </w:rPr>
  </w:style>
  <w:style w:type="paragraph" w:styleId="Sommario1">
    <w:name w:val="toc 1"/>
    <w:autoRedefine/>
    <w:uiPriority w:val="39"/>
    <w:unhideWhenUsed/>
    <w:rsid w:val="00986B82"/>
    <w:pPr>
      <w:spacing w:after="100"/>
    </w:pPr>
    <w:rPr>
      <w:rFonts w:asciiTheme="minorHAnsi" w:hAnsiTheme="minorHAnsi"/>
      <w:b/>
      <w:color w:val="16C45B" w:themeColor="accent6"/>
      <w:sz w:val="36"/>
    </w:rPr>
  </w:style>
  <w:style w:type="paragraph" w:styleId="Sommario2">
    <w:name w:val="toc 2"/>
    <w:autoRedefine/>
    <w:uiPriority w:val="39"/>
    <w:unhideWhenUsed/>
    <w:rsid w:val="00CA7C55"/>
    <w:pPr>
      <w:spacing w:after="100"/>
      <w:ind w:left="220"/>
    </w:pPr>
    <w:rPr>
      <w:rFonts w:asciiTheme="minorHAnsi" w:hAnsiTheme="minorHAnsi"/>
      <w:b/>
      <w:color w:val="16C45B" w:themeColor="accent3"/>
      <w:sz w:val="28"/>
    </w:rPr>
  </w:style>
  <w:style w:type="paragraph" w:styleId="Sommario3">
    <w:name w:val="toc 3"/>
    <w:autoRedefine/>
    <w:uiPriority w:val="39"/>
    <w:unhideWhenUsed/>
    <w:rsid w:val="00CA7C55"/>
    <w:pPr>
      <w:spacing w:after="100"/>
      <w:ind w:left="440"/>
    </w:pPr>
    <w:rPr>
      <w:rFonts w:asciiTheme="minorHAnsi" w:hAnsiTheme="minorHAnsi"/>
      <w:b/>
      <w:i/>
      <w:color w:val="1D1D1B" w:themeColor="accent2"/>
      <w:sz w:val="26"/>
    </w:rPr>
  </w:style>
  <w:style w:type="paragraph" w:styleId="NormaleWeb">
    <w:name w:val="Normal (Web)"/>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Titolo5Carattere">
    <w:name w:val="Titolo 5 Carattere"/>
    <w:basedOn w:val="Carpredefinitoparagrafo"/>
    <w:uiPriority w:val="9"/>
    <w:rsid w:val="00986B82"/>
    <w:rPr>
      <w:rFonts w:ascii="Calibri" w:eastAsiaTheme="majorEastAsia" w:hAnsi="Calibri" w:cstheme="majorBidi"/>
      <w:color w:val="16C45B" w:themeColor="accent6"/>
    </w:rPr>
  </w:style>
  <w:style w:type="paragraph" w:styleId="Sommario4">
    <w:name w:val="toc 4"/>
    <w:autoRedefine/>
    <w:uiPriority w:val="39"/>
    <w:semiHidden/>
    <w:unhideWhenUsed/>
    <w:rsid w:val="00CA7C55"/>
    <w:pPr>
      <w:spacing w:after="100"/>
      <w:ind w:left="660"/>
    </w:pPr>
    <w:rPr>
      <w:rFonts w:asciiTheme="minorHAnsi" w:hAnsiTheme="minorHAnsi"/>
      <w:b/>
      <w:i/>
      <w:color w:val="2B454E" w:themeColor="accent4"/>
      <w:sz w:val="24"/>
    </w:rPr>
  </w:style>
  <w:style w:type="paragraph" w:styleId="Sommario5">
    <w:name w:val="toc 5"/>
    <w:autoRedefine/>
    <w:uiPriority w:val="39"/>
    <w:semiHidden/>
    <w:unhideWhenUsed/>
    <w:rsid w:val="00CA7C55"/>
    <w:pPr>
      <w:spacing w:after="100"/>
      <w:ind w:left="880"/>
    </w:pPr>
    <w:rPr>
      <w:rFonts w:asciiTheme="minorHAnsi" w:hAnsiTheme="minorHAnsi"/>
      <w:color w:val="16C45B" w:themeColor="accent6"/>
    </w:rPr>
  </w:style>
  <w:style w:type="paragraph" w:styleId="Nessunaspaziatura">
    <w:name w:val="No Spacing"/>
    <w:uiPriority w:val="1"/>
    <w:qFormat/>
    <w:rsid w:val="00BF096B"/>
    <w:pPr>
      <w:spacing w:after="0" w:line="240" w:lineRule="auto"/>
    </w:pPr>
    <w:rPr>
      <w:color w:val="1D1D1B" w:themeColor="text1"/>
    </w:rPr>
  </w:style>
  <w:style w:type="table" w:styleId="Tabellagriglia1chiara-colore6">
    <w:name w:val="Grid Table 1 Light Accent 6"/>
    <w:basedOn w:val="Tabellanormale"/>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Tabellagriglia5scura-colore6">
    <w:name w:val="Grid Table 5 Dark Accent 6"/>
    <w:basedOn w:val="Tabellanormale"/>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Titolo6Carattere">
    <w:name w:val="Titolo 6 Carattere"/>
    <w:basedOn w:val="Carpredefinitoparagrafo"/>
    <w:uiPriority w:val="9"/>
    <w:semiHidden/>
    <w:rsid w:val="00BF096B"/>
    <w:rPr>
      <w:rFonts w:ascii="Calibri" w:eastAsiaTheme="majorEastAsia" w:hAnsi="Calibri" w:cstheme="majorBidi"/>
      <w:color w:val="0B612D" w:themeColor="accent1" w:themeShade="7F"/>
    </w:rPr>
  </w:style>
  <w:style w:type="table" w:styleId="Tabellagriglia4-colore1">
    <w:name w:val="Grid Table 4 Accent 1"/>
    <w:basedOn w:val="Tabellanormale"/>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Collegamentovisitato">
    <w:name w:val="FollowedHyperlink"/>
    <w:basedOn w:val="Carpredefinitoparagrafo"/>
    <w:uiPriority w:val="99"/>
    <w:semiHidden/>
    <w:unhideWhenUsed/>
    <w:rsid w:val="00405D90"/>
    <w:rPr>
      <w:color w:val="16C45B" w:themeColor="followedHyperlink"/>
      <w:u w:val="single"/>
    </w:rPr>
  </w:style>
  <w:style w:type="paragraph" w:customStyle="1" w:styleId="Style1">
    <w:name w:val="Style1"/>
    <w:qFormat/>
    <w:rsid w:val="001C523D"/>
    <w:pPr>
      <w:jc w:val="right"/>
    </w:pPr>
    <w:rPr>
      <w:color w:val="16C45B" w:themeColor="accent3"/>
    </w:rPr>
  </w:style>
  <w:style w:type="character" w:customStyle="1" w:styleId="UnresolvedMention1">
    <w:name w:val="Unresolved Mention1"/>
    <w:basedOn w:val="Carpredefinitoparagrafo"/>
    <w:uiPriority w:val="99"/>
    <w:semiHidden/>
    <w:unhideWhenUsed/>
    <w:rsid w:val="001C523D"/>
    <w:rPr>
      <w:color w:val="605E5C"/>
      <w:shd w:val="clear" w:color="auto" w:fill="E1DFDD"/>
    </w:rPr>
  </w:style>
  <w:style w:type="table" w:styleId="Tabellagriglia4-colore2">
    <w:name w:val="Grid Table 4 Accent 2"/>
    <w:basedOn w:val="Tabellanormale"/>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Tabellagriglia4-colore4">
    <w:name w:val="Grid Table 4 Accent 4"/>
    <w:basedOn w:val="Tabellanormale"/>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Tabellagriglia4-colore3">
    <w:name w:val="Grid Table 4 Accent 3"/>
    <w:basedOn w:val="Tabellanormale"/>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Titolosommario">
    <w:name w:val="TOC Heading"/>
    <w:uiPriority w:val="39"/>
    <w:unhideWhenUsed/>
    <w:qFormat/>
    <w:rsid w:val="00BB3C31"/>
    <w:pPr>
      <w:keepNext/>
      <w:keepLines/>
      <w:spacing w:before="240" w:after="0"/>
    </w:pPr>
    <w:rPr>
      <w:rFonts w:asciiTheme="majorHAnsi" w:eastAsiaTheme="majorEastAsia" w:hAnsiTheme="majorHAnsi" w:cstheme="majorBidi"/>
      <w:color w:val="109243" w:themeColor="accent1" w:themeShade="BF"/>
      <w:sz w:val="32"/>
      <w:szCs w:val="32"/>
    </w:rPr>
  </w:style>
  <w:style w:type="table" w:customStyle="1" w:styleId="a">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character" w:styleId="Menzionenonrisolta">
    <w:name w:val="Unresolved Mention"/>
    <w:basedOn w:val="Carpredefinitoparagrafo"/>
    <w:uiPriority w:val="99"/>
    <w:semiHidden/>
    <w:unhideWhenUsed/>
    <w:rsid w:val="006F478A"/>
    <w:rPr>
      <w:color w:val="605E5C"/>
      <w:shd w:val="clear" w:color="auto" w:fill="E1DFDD"/>
    </w:rPr>
  </w:style>
  <w:style w:type="table" w:customStyle="1" w:styleId="ad">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3">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9">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a">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b">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c">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d">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e">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0">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1">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2">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3">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4">
    <w:basedOn w:val="Tabellanormale"/>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ff5">
    <w:basedOn w:val="TableNormal0"/>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6">
    <w:basedOn w:val="TableNormal0"/>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7">
    <w:basedOn w:val="TableNormal0"/>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8">
    <w:basedOn w:val="TableNormal0"/>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9">
    <w:basedOn w:val="TableNormal0"/>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fa">
    <w:basedOn w:val="TableNormal0"/>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doi.org/10.2766/260477" TargetMode="External"/><Relationship Id="rId18" Type="http://schemas.openxmlformats.org/officeDocument/2006/relationships/hyperlink" Target="https://mermaidsuk.org.uk/wp-content/uploads/2019/12/BHCC_Trans-Inclusion-Schools-Toolkit-_Version4_Sept21.pdf" TargetMode="External"/><Relationship Id="rId26" Type="http://schemas.openxmlformats.org/officeDocument/2006/relationships/hyperlink" Target="https://www.ted.com/talks/i_spy_my_unconscious_gender_bias" TargetMode="External"/><Relationship Id="rId3" Type="http://schemas.openxmlformats.org/officeDocument/2006/relationships/styles" Target="styles.xml"/><Relationship Id="rId21" Type="http://schemas.openxmlformats.org/officeDocument/2006/relationships/hyperlink" Target="https://unesdoc.unesco.org/ark:/48223/pf0000253479" TargetMode="External"/><Relationship Id="rId7" Type="http://schemas.openxmlformats.org/officeDocument/2006/relationships/endnotes" Target="endnotes.xml"/><Relationship Id="rId12" Type="http://schemas.openxmlformats.org/officeDocument/2006/relationships/hyperlink" Target="https://doi.org/10.1145/2983468.2983517" TargetMode="External"/><Relationship Id="rId17" Type="http://schemas.openxmlformats.org/officeDocument/2006/relationships/hyperlink" Target="https://mermaidsuk.org.uk/wp-content/uploads/2019/12/BHCC_Trans-Inclusion-Schools-Toolkit-_Version4_Sept21.pdf" TargetMode="External"/><Relationship Id="rId25" Type="http://schemas.openxmlformats.org/officeDocument/2006/relationships/hyperlink" Target="https://mermaidsuk.org.uk/wp-content/uploads/2019/12/BHCC_Trans-Inclusion-Schools-Toolkit-_Version4_Sept21.pdf" TargetMode="External"/><Relationship Id="rId2" Type="http://schemas.openxmlformats.org/officeDocument/2006/relationships/numbering" Target="numbering.xml"/><Relationship Id="rId16" Type="http://schemas.openxmlformats.org/officeDocument/2006/relationships/hyperlink" Target="https://www.stonewall.org.uk/resources/list-lgbtq-terms" TargetMode="External"/><Relationship Id="rId20" Type="http://schemas.openxmlformats.org/officeDocument/2006/relationships/hyperlink" Target="https://unesdoc.unesco.org/ark:/48223/pf0000253479"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hyperlink" Target="https://www.stonewall.org.uk/resources/list-lgbtq-term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tonewall.org.uk/resources/list-lgbtq-terms" TargetMode="External"/><Relationship Id="rId23" Type="http://schemas.openxmlformats.org/officeDocument/2006/relationships/hyperlink" Target="https://digital-strategy.ec.europa.eu/en/factpages/state-digital-decade-2024-report" TargetMode="External"/><Relationship Id="rId28" Type="http://schemas.openxmlformats.org/officeDocument/2006/relationships/hyperlink" Target="https://www.ecb.europa.eu/ecb-and-you/youth-initiatives/girls_it_bootcamp/html/index.en.html" TargetMode="External"/><Relationship Id="rId10" Type="http://schemas.openxmlformats.org/officeDocument/2006/relationships/image" Target="media/image4.png"/><Relationship Id="rId19" Type="http://schemas.openxmlformats.org/officeDocument/2006/relationships/hyperlink" Target="https://unesdoc.unesco.org/ark:/48223/pf0000253479"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1080/08993408.2010.527686" TargetMode="External"/><Relationship Id="rId22" Type="http://schemas.openxmlformats.org/officeDocument/2006/relationships/hyperlink" Target="https://digital-strategy.ec.europa.eu/en/policies/women-digital" TargetMode="External"/><Relationship Id="rId27" Type="http://schemas.openxmlformats.org/officeDocument/2006/relationships/hyperlink" Target="https://girlswhocode.com/"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TAiWeqkBAE03T1ag1PoWQF82jQ==">CgMxLjAyDmgud2YzdWc5anUwczNnMg5oLnVmNHlhNXBtdHU1azIOaC5wempibXVsejZodjYyDmgubGZvYXR4bGt2NzJiMg1oLnhmcXBpa3BndWZsMg5oLm1tanpsMHBlMHkzMDIOaC55aDkwdXFvZ3NhYmMyDmgudnJ3YXN2Y2JteWdiMg5oLmRuM2F4MzZ6ZWd0NzIOaC50NjY2cmt0MDUzMWIyDmguZ3djeGJiZGc4ZHFoMg5oLmhidjZ3dDJwamF5ejgAciExWXJwNEw3Ty1Lem1ra2J2amNoWU9sY2k0QlhLNGNaam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3875</Words>
  <Characters>22089</Characters>
  <Application>Microsoft Office Word</Application>
  <DocSecurity>0</DocSecurity>
  <Lines>184</Lines>
  <Paragraphs>51</Paragraphs>
  <ScaleCrop>false</ScaleCrop>
  <Company/>
  <LinksUpToDate>false</LinksUpToDate>
  <CharactersWithSpaces>25913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Suzanne Ott – CESIE ETS</cp:lastModifiedBy>
  <cp:revision>2</cp:revision>
  <dcterms:created xsi:type="dcterms:W3CDTF">2025-03-07T09:26:00Z</dcterms:created>
  <dcterms:modified xsi:type="dcterms:W3CDTF">2025-07-24T12:23:00Z</dcterms:modified>
</cp:coreProperties>
</file>